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6372" w14:textId="07DE7809" w:rsidR="00DD4463" w:rsidRDefault="00DD4463" w:rsidP="00E91539">
      <w:pPr>
        <w:tabs>
          <w:tab w:val="left" w:pos="1305"/>
        </w:tabs>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p w14:paraId="77458B2D" w14:textId="54510EEB" w:rsidR="00DD4463" w:rsidRDefault="00DD4463"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4B63E23" w14:textId="00D27AB3" w:rsidR="00E91539" w:rsidRDefault="00E91539"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5B9E35F" w14:textId="69C2D68E" w:rsidR="00E91539" w:rsidRDefault="005D55DF" w:rsidP="005D55DF">
      <w:pPr>
        <w:tabs>
          <w:tab w:val="left" w:pos="5535"/>
        </w:tabs>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2CB7CCCF" w14:textId="77777777" w:rsidR="00E91539" w:rsidRDefault="00E91539"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3FD8CD3" w14:textId="77777777" w:rsidR="004C41A0" w:rsidRDefault="004C41A0" w:rsidP="004C41A0">
      <w:pPr>
        <w:pBdr>
          <w:top w:val="single" w:sz="18" w:space="1" w:color="auto"/>
          <w:left w:val="single" w:sz="18" w:space="4" w:color="auto"/>
          <w:bottom w:val="single" w:sz="18" w:space="1" w:color="auto"/>
          <w:right w:val="single" w:sz="18" w:space="4" w:color="auto"/>
        </w:pBdr>
        <w:tabs>
          <w:tab w:val="left" w:pos="3090"/>
        </w:tabs>
        <w:spacing w:before="240" w:after="240"/>
        <w:jc w:val="center"/>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7816A1B" w14:textId="0AD04BED" w:rsidR="004C41A0" w:rsidRDefault="00E91539" w:rsidP="004C41A0">
      <w:pPr>
        <w:pBdr>
          <w:top w:val="single" w:sz="18" w:space="1" w:color="auto"/>
          <w:left w:val="single" w:sz="18" w:space="4" w:color="auto"/>
          <w:bottom w:val="single" w:sz="18" w:space="1" w:color="auto"/>
          <w:right w:val="single" w:sz="18" w:space="4" w:color="auto"/>
        </w:pBdr>
        <w:tabs>
          <w:tab w:val="left" w:pos="3090"/>
        </w:tabs>
        <w:spacing w:before="240" w:after="240"/>
        <w:jc w:val="center"/>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91539">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REGLEMENT D’ATTRIBUTION DES</w:t>
      </w:r>
    </w:p>
    <w:p w14:paraId="11705F56" w14:textId="6A1A216E" w:rsidR="00DD4463" w:rsidRDefault="00E91539" w:rsidP="004C41A0">
      <w:pPr>
        <w:pBdr>
          <w:top w:val="single" w:sz="18" w:space="1" w:color="auto"/>
          <w:left w:val="single" w:sz="18" w:space="4" w:color="auto"/>
          <w:bottom w:val="single" w:sz="18" w:space="1" w:color="auto"/>
          <w:right w:val="single" w:sz="18" w:space="4" w:color="auto"/>
        </w:pBdr>
        <w:tabs>
          <w:tab w:val="left" w:pos="3090"/>
        </w:tabs>
        <w:spacing w:before="240" w:after="240"/>
        <w:jc w:val="center"/>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91539">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AIDES DIRECTES AUX ENTREPRISES</w:t>
      </w:r>
    </w:p>
    <w:p w14:paraId="61FEBBE3" w14:textId="575E7C4E" w:rsidR="00E91539" w:rsidRPr="00254EFF" w:rsidRDefault="00E91539" w:rsidP="00254EFF">
      <w:pPr>
        <w:pBdr>
          <w:top w:val="single" w:sz="18" w:space="1" w:color="auto"/>
          <w:left w:val="single" w:sz="18" w:space="4" w:color="auto"/>
          <w:bottom w:val="single" w:sz="18" w:space="1" w:color="auto"/>
          <w:right w:val="single" w:sz="18" w:space="4" w:color="auto"/>
        </w:pBdr>
        <w:tabs>
          <w:tab w:val="left" w:pos="3090"/>
        </w:tabs>
        <w:spacing w:before="240" w:after="24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4EFF">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(Opération Collective en Milieu Rural sur le territoire Sud Est Vendée)</w:t>
      </w:r>
    </w:p>
    <w:p w14:paraId="5ED3B1E6" w14:textId="6009A029" w:rsidR="00E91539" w:rsidRDefault="00E91539" w:rsidP="00E91539">
      <w:pPr>
        <w:pBdr>
          <w:top w:val="single" w:sz="18" w:space="1" w:color="auto"/>
          <w:left w:val="single" w:sz="18" w:space="4" w:color="auto"/>
          <w:bottom w:val="single" w:sz="18" w:space="1" w:color="auto"/>
          <w:right w:val="single" w:sz="18" w:space="4" w:color="auto"/>
        </w:pBdr>
        <w:tabs>
          <w:tab w:val="left" w:pos="3090"/>
        </w:tabs>
        <w:spacing w:before="240" w:after="240"/>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BA4D8" w14:textId="43E4F9BF" w:rsidR="00E91539" w:rsidRPr="004C41A0" w:rsidRDefault="004C41A0" w:rsidP="00E91539">
      <w:pPr>
        <w:pBdr>
          <w:top w:val="single" w:sz="18" w:space="1" w:color="auto"/>
          <w:left w:val="single" w:sz="18" w:space="4" w:color="auto"/>
          <w:bottom w:val="single" w:sz="18" w:space="1" w:color="auto"/>
          <w:right w:val="single" w:sz="18" w:space="4" w:color="auto"/>
        </w:pBdr>
        <w:tabs>
          <w:tab w:val="left" w:pos="3090"/>
        </w:tabs>
        <w:jc w:val="center"/>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C41A0">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PROGRAMME FISAC</w:t>
      </w:r>
    </w:p>
    <w:p w14:paraId="6C21A766" w14:textId="526F7192" w:rsidR="00E91539" w:rsidRPr="0068466A" w:rsidRDefault="004C41A0" w:rsidP="0068466A">
      <w:pPr>
        <w:pBdr>
          <w:top w:val="single" w:sz="18" w:space="1" w:color="auto"/>
          <w:left w:val="single" w:sz="18" w:space="4" w:color="auto"/>
          <w:bottom w:val="single" w:sz="18" w:space="1" w:color="auto"/>
          <w:right w:val="single" w:sz="18" w:space="4" w:color="auto"/>
        </w:pBdr>
        <w:tabs>
          <w:tab w:val="left" w:pos="3090"/>
        </w:tabs>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4EFF">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(Fonds d’interventions pour les Services, l’Artisanat et les Commerces</w:t>
      </w:r>
      <w:r w:rsidRPr="0068466A">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7D1EA2" w14:textId="77777777" w:rsidR="00E91539" w:rsidRPr="00E91539" w:rsidRDefault="00E91539" w:rsidP="00E91539">
      <w:pPr>
        <w:pBdr>
          <w:top w:val="single" w:sz="18" w:space="1" w:color="auto"/>
          <w:left w:val="single" w:sz="18" w:space="4" w:color="auto"/>
          <w:bottom w:val="single" w:sz="18" w:space="1" w:color="auto"/>
          <w:right w:val="single" w:sz="18" w:space="4" w:color="auto"/>
        </w:pBdr>
        <w:tabs>
          <w:tab w:val="left" w:pos="3090"/>
        </w:tabs>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EDBF9" w14:textId="4B48A235" w:rsidR="00DD4463" w:rsidRDefault="00DD4463"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9618857" w14:textId="75AD99F5" w:rsidR="00DD4463" w:rsidRDefault="00DD4463"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45DED20" w14:textId="05D74FF2" w:rsidR="00DD4463" w:rsidRDefault="00DD4463"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9363BF7" w14:textId="023BFA27" w:rsidR="00DD4463" w:rsidRDefault="00DD4463" w:rsidP="00E91539">
      <w:pPr>
        <w:jc w:val="both"/>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577C1F" w14:textId="5D4C5A07" w:rsidR="00E91539" w:rsidRDefault="00E91539" w:rsidP="004C41A0">
      <w:pP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3921EF8" w14:textId="32D1D945" w:rsidR="00254EFF" w:rsidRDefault="003D5A5D" w:rsidP="00E91539">
      <w:pPr>
        <w:rPr>
          <w:b/>
          <w:sz w:val="36"/>
          <w:szCs w:val="36"/>
          <w:u w:val="single"/>
        </w:rPr>
      </w:pPr>
      <w:r>
        <w:rPr>
          <w:rFonts w:ascii="Segoe UI" w:hAnsi="Segoe UI" w:cs="Segoe UI"/>
          <w:noProof/>
          <w:color w:val="444444"/>
          <w:sz w:val="20"/>
          <w:szCs w:val="20"/>
        </w:rPr>
        <w:drawing>
          <wp:anchor distT="0" distB="0" distL="114300" distR="114300" simplePos="0" relativeHeight="251658240" behindDoc="0" locked="0" layoutInCell="1" allowOverlap="1" wp14:anchorId="71D046F9" wp14:editId="14012939">
            <wp:simplePos x="0" y="0"/>
            <wp:positionH relativeFrom="margin">
              <wp:posOffset>-10160</wp:posOffset>
            </wp:positionH>
            <wp:positionV relativeFrom="margin">
              <wp:posOffset>8298815</wp:posOffset>
            </wp:positionV>
            <wp:extent cx="1536700" cy="466725"/>
            <wp:effectExtent l="0" t="0" r="635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6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4612F" w14:textId="6D56B7B0" w:rsidR="003D5A5D" w:rsidRDefault="003D5A5D" w:rsidP="00E91539">
      <w:pPr>
        <w:rPr>
          <w:rFonts w:ascii="Times New Roman" w:hAnsi="Times New Roman" w:cs="Times New Roman"/>
          <w:b/>
          <w:sz w:val="28"/>
          <w:szCs w:val="28"/>
          <w:u w:val="single"/>
        </w:rPr>
      </w:pPr>
    </w:p>
    <w:p w14:paraId="7FC0E19D" w14:textId="77777777" w:rsidR="00DC2012" w:rsidRDefault="00DC2012" w:rsidP="00E91539">
      <w:pPr>
        <w:rPr>
          <w:rFonts w:ascii="Times New Roman" w:hAnsi="Times New Roman" w:cs="Times New Roman"/>
          <w:b/>
          <w:sz w:val="28"/>
          <w:szCs w:val="28"/>
          <w:u w:val="single"/>
        </w:rPr>
      </w:pPr>
    </w:p>
    <w:p w14:paraId="26F4A9B6" w14:textId="77777777" w:rsidR="00DA1214" w:rsidRPr="00A317DC" w:rsidRDefault="00DA1214" w:rsidP="00E91539">
      <w:pPr>
        <w:rPr>
          <w:rFonts w:ascii="Arial Narrow" w:hAnsi="Arial Narrow" w:cs="Arial"/>
          <w:b/>
          <w:sz w:val="24"/>
          <w:szCs w:val="24"/>
          <w:u w:val="single"/>
        </w:rPr>
      </w:pPr>
    </w:p>
    <w:p w14:paraId="34A04F98" w14:textId="55332A90" w:rsidR="002B4596" w:rsidRPr="00A317DC" w:rsidRDefault="004C41A0" w:rsidP="00E91539">
      <w:pPr>
        <w:rPr>
          <w:rFonts w:ascii="Arial" w:hAnsi="Arial" w:cs="Arial"/>
          <w:b/>
          <w:sz w:val="24"/>
          <w:szCs w:val="24"/>
          <w:u w:val="single"/>
        </w:rPr>
      </w:pPr>
      <w:r w:rsidRPr="00A317DC">
        <w:rPr>
          <w:rFonts w:ascii="Arial" w:hAnsi="Arial" w:cs="Arial"/>
          <w:b/>
          <w:sz w:val="24"/>
          <w:szCs w:val="24"/>
          <w:u w:val="single"/>
        </w:rPr>
        <w:lastRenderedPageBreak/>
        <w:t>PREAMBULE :</w:t>
      </w:r>
    </w:p>
    <w:p w14:paraId="638868C7" w14:textId="59175D19" w:rsidR="00637C87" w:rsidRPr="00062720" w:rsidRDefault="005A2F8C" w:rsidP="00327770">
      <w:pPr>
        <w:spacing w:line="240" w:lineRule="auto"/>
        <w:rPr>
          <w:rFonts w:ascii="Arial" w:hAnsi="Arial" w:cs="Arial"/>
        </w:rPr>
      </w:pPr>
      <w:r w:rsidRPr="00062720">
        <w:rPr>
          <w:rFonts w:ascii="Arial" w:hAnsi="Arial" w:cs="Arial"/>
        </w:rPr>
        <w:t>Le dispositif FISAC est un outil d’accompagnement mis en place par l’Etat, qui vise en priorité à préserver ou à développer un tissu d’entreprises de proximité, principalement de très petites entreprises, à les aider à s’adapter aux mutations de leur environnement, à améliorer l’image commerciale du territoire et à renforcer son attractivité.</w:t>
      </w:r>
    </w:p>
    <w:p w14:paraId="03288DD6" w14:textId="241DA2CC" w:rsidR="005A2F8C" w:rsidRPr="00062720" w:rsidRDefault="005A2F8C" w:rsidP="00077353">
      <w:pPr>
        <w:rPr>
          <w:rFonts w:ascii="Arial" w:hAnsi="Arial" w:cs="Arial"/>
        </w:rPr>
      </w:pPr>
      <w:r w:rsidRPr="00062720">
        <w:rPr>
          <w:rFonts w:ascii="Arial" w:hAnsi="Arial" w:cs="Arial"/>
        </w:rPr>
        <w:t>Le présent règlement est rédigé en application du décret n°2015-1112 du 02 septembre 2015 relatif au FISAC, édition2017.</w:t>
      </w:r>
    </w:p>
    <w:p w14:paraId="1FFB291A" w14:textId="3603BF1D" w:rsidR="00ED3BF5" w:rsidRPr="00062720" w:rsidRDefault="00ED3BF5" w:rsidP="00077353">
      <w:pPr>
        <w:rPr>
          <w:rFonts w:ascii="Arial" w:hAnsi="Arial" w:cs="Arial"/>
        </w:rPr>
      </w:pPr>
      <w:r w:rsidRPr="00062720">
        <w:rPr>
          <w:rFonts w:ascii="Arial" w:hAnsi="Arial" w:cs="Arial"/>
        </w:rPr>
        <w:t>Il découle de la réglementation nationale quant à l’éligibilité aux aides FISAC et de la stratégie exprimée par le Syndicat Mixte Fontenay Sud Vendée Développement.</w:t>
      </w:r>
    </w:p>
    <w:p w14:paraId="48C79C6B" w14:textId="0AFEFC3E" w:rsidR="00ED3BF5" w:rsidRPr="00062720" w:rsidRDefault="00ED3BF5" w:rsidP="00077353">
      <w:pPr>
        <w:rPr>
          <w:rFonts w:ascii="Arial" w:hAnsi="Arial" w:cs="Arial"/>
        </w:rPr>
      </w:pPr>
      <w:r w:rsidRPr="00062720">
        <w:rPr>
          <w:rFonts w:ascii="Arial" w:hAnsi="Arial" w:cs="Arial"/>
        </w:rPr>
        <w:t>Il s’applique aux demandes de Subvention formulées dans le cadre du Programme d’actions de l’Opération Collective en milieu rural sur le territoire Sud Est Vendée</w:t>
      </w:r>
      <w:r w:rsidR="00151B95">
        <w:rPr>
          <w:rFonts w:ascii="Arial" w:hAnsi="Arial" w:cs="Arial"/>
        </w:rPr>
        <w:t xml:space="preserve"> pour les artisans</w:t>
      </w:r>
      <w:r w:rsidR="00B67187">
        <w:rPr>
          <w:rFonts w:ascii="Arial" w:hAnsi="Arial" w:cs="Arial"/>
        </w:rPr>
        <w:t xml:space="preserve">, </w:t>
      </w:r>
      <w:r w:rsidR="00151B95">
        <w:rPr>
          <w:rFonts w:ascii="Arial" w:hAnsi="Arial" w:cs="Arial"/>
        </w:rPr>
        <w:t xml:space="preserve">et </w:t>
      </w:r>
      <w:r w:rsidR="00B67187">
        <w:rPr>
          <w:rFonts w:ascii="Arial" w:hAnsi="Arial" w:cs="Arial"/>
        </w:rPr>
        <w:t xml:space="preserve">exclusivement sur les communes de </w:t>
      </w:r>
      <w:proofErr w:type="spellStart"/>
      <w:r w:rsidR="00B67187">
        <w:rPr>
          <w:rFonts w:ascii="Arial" w:hAnsi="Arial" w:cs="Arial"/>
        </w:rPr>
        <w:t>Benet</w:t>
      </w:r>
      <w:proofErr w:type="spellEnd"/>
      <w:r w:rsidR="00B67187">
        <w:rPr>
          <w:rFonts w:ascii="Arial" w:hAnsi="Arial" w:cs="Arial"/>
        </w:rPr>
        <w:t>, Fontenay Le Comte et La Châtaigneraie</w:t>
      </w:r>
      <w:r w:rsidR="00151B95">
        <w:rPr>
          <w:rFonts w:ascii="Arial" w:hAnsi="Arial" w:cs="Arial"/>
        </w:rPr>
        <w:t xml:space="preserve"> pour les commerçants.</w:t>
      </w:r>
    </w:p>
    <w:p w14:paraId="23BEBB52" w14:textId="6E20680C" w:rsidR="00077353" w:rsidRDefault="00ED3BF5" w:rsidP="003E0211">
      <w:pPr>
        <w:rPr>
          <w:rFonts w:ascii="Arial" w:hAnsi="Arial" w:cs="Arial"/>
        </w:rPr>
      </w:pPr>
      <w:r w:rsidRPr="00062720">
        <w:rPr>
          <w:rFonts w:ascii="Arial" w:hAnsi="Arial" w:cs="Arial"/>
        </w:rPr>
        <w:t>Les aides sont mobilisables jusqu’à épuisement de l’enveloppe des crédits alloués.</w:t>
      </w:r>
    </w:p>
    <w:p w14:paraId="6C4483ED" w14:textId="77777777" w:rsidR="003E0211" w:rsidRPr="003E0211" w:rsidRDefault="003E0211" w:rsidP="003E0211">
      <w:pPr>
        <w:rPr>
          <w:rFonts w:ascii="Arial" w:hAnsi="Arial" w:cs="Arial"/>
          <w:sz w:val="16"/>
          <w:szCs w:val="16"/>
        </w:rPr>
      </w:pPr>
    </w:p>
    <w:p w14:paraId="57806837" w14:textId="2DB53471" w:rsidR="007001AB" w:rsidRPr="00754787" w:rsidRDefault="00327770" w:rsidP="00754787">
      <w:pPr>
        <w:pBdr>
          <w:bottom w:val="single" w:sz="4" w:space="1" w:color="auto"/>
        </w:pBdr>
        <w:spacing w:after="240"/>
        <w:rPr>
          <w:rFonts w:ascii="Arial" w:hAnsi="Arial" w:cs="Arial"/>
          <w:b/>
          <w:bCs/>
          <w:color w:val="4472C4" w:themeColor="accent1"/>
          <w:sz w:val="24"/>
          <w:szCs w:val="24"/>
        </w:rPr>
      </w:pPr>
      <w:r w:rsidRPr="00754787">
        <w:rPr>
          <w:rFonts w:ascii="Arial" w:hAnsi="Arial" w:cs="Arial"/>
          <w:b/>
          <w:bCs/>
          <w:color w:val="4472C4" w:themeColor="accent1"/>
          <w:sz w:val="24"/>
          <w:szCs w:val="24"/>
        </w:rPr>
        <w:t>1</w:t>
      </w:r>
      <w:r w:rsidR="00E162AD" w:rsidRPr="00754787">
        <w:rPr>
          <w:rFonts w:ascii="Arial" w:hAnsi="Arial" w:cs="Arial"/>
          <w:b/>
          <w:bCs/>
          <w:color w:val="4472C4" w:themeColor="accent1"/>
          <w:sz w:val="24"/>
          <w:szCs w:val="24"/>
        </w:rPr>
        <w:t xml:space="preserve"> </w:t>
      </w:r>
      <w:r w:rsidRPr="00754787">
        <w:rPr>
          <w:rFonts w:ascii="Arial" w:hAnsi="Arial" w:cs="Arial"/>
          <w:b/>
          <w:bCs/>
          <w:color w:val="4472C4" w:themeColor="accent1"/>
          <w:sz w:val="24"/>
          <w:szCs w:val="24"/>
        </w:rPr>
        <w:t xml:space="preserve">/ </w:t>
      </w:r>
      <w:r w:rsidR="00ED3BF5" w:rsidRPr="00754787">
        <w:rPr>
          <w:rFonts w:ascii="Arial" w:hAnsi="Arial" w:cs="Arial"/>
          <w:b/>
          <w:bCs/>
          <w:color w:val="4472C4" w:themeColor="accent1"/>
          <w:sz w:val="24"/>
          <w:szCs w:val="24"/>
        </w:rPr>
        <w:t>SECTEURS PROFESSIONNELS CONCERNÉS</w:t>
      </w:r>
    </w:p>
    <w:p w14:paraId="6186AB7F" w14:textId="08595620" w:rsidR="00873E7E" w:rsidRPr="00062720" w:rsidRDefault="00ED3BF5" w:rsidP="00327770">
      <w:pPr>
        <w:spacing w:after="240" w:line="240" w:lineRule="auto"/>
        <w:rPr>
          <w:rFonts w:ascii="Arial" w:hAnsi="Arial" w:cs="Arial"/>
          <w:b/>
          <w:bCs/>
          <w:u w:val="single"/>
        </w:rPr>
      </w:pPr>
      <w:r w:rsidRPr="00062720">
        <w:rPr>
          <w:rFonts w:ascii="Arial" w:hAnsi="Arial" w:cs="Arial"/>
        </w:rPr>
        <w:t xml:space="preserve">Sont concernés les secteurs professionnels qui entrent dans le champ de compétence du Ministère chargé des petites et moyennes entreprises, du commerce, de l’artisanat, des services et plus précisément : </w:t>
      </w:r>
    </w:p>
    <w:p w14:paraId="2744A24B" w14:textId="33A16C15" w:rsidR="00A92E47" w:rsidRPr="00327770" w:rsidRDefault="00873E7E" w:rsidP="00327770">
      <w:pPr>
        <w:pStyle w:val="Paragraphedeliste"/>
        <w:numPr>
          <w:ilvl w:val="0"/>
          <w:numId w:val="30"/>
        </w:numPr>
        <w:ind w:left="714" w:hanging="357"/>
        <w:contextualSpacing w:val="0"/>
        <w:rPr>
          <w:rFonts w:ascii="Arial" w:hAnsi="Arial" w:cs="Arial"/>
        </w:rPr>
      </w:pPr>
      <w:r w:rsidRPr="00062720">
        <w:rPr>
          <w:rFonts w:ascii="Arial" w:hAnsi="Arial" w:cs="Arial"/>
        </w:rPr>
        <w:t>L’artisanat,</w:t>
      </w:r>
      <w:r w:rsidR="00ED3BF5" w:rsidRPr="00062720">
        <w:rPr>
          <w:rFonts w:ascii="Arial" w:hAnsi="Arial" w:cs="Arial"/>
        </w:rPr>
        <w:t xml:space="preserve"> à l’exclusion des entreprises et des activités inéligibles aux aides publiques nationales et européennes ; </w:t>
      </w:r>
    </w:p>
    <w:p w14:paraId="0AB87004" w14:textId="741D7DBB" w:rsidR="00A317DC" w:rsidRPr="00A317DC" w:rsidRDefault="00ED3BF5" w:rsidP="00327770">
      <w:pPr>
        <w:pStyle w:val="Paragraphedeliste"/>
        <w:numPr>
          <w:ilvl w:val="0"/>
          <w:numId w:val="30"/>
        </w:numPr>
        <w:spacing w:before="240" w:after="240" w:line="240" w:lineRule="auto"/>
        <w:ind w:left="714" w:hanging="357"/>
        <w:contextualSpacing w:val="0"/>
        <w:rPr>
          <w:rFonts w:ascii="Arial" w:hAnsi="Arial" w:cs="Arial"/>
        </w:rPr>
      </w:pPr>
      <w:r w:rsidRPr="00062720">
        <w:rPr>
          <w:rFonts w:ascii="Arial" w:hAnsi="Arial" w:cs="Arial"/>
        </w:rPr>
        <w:t>Le commerce de détail, y compris les cafés et les rest</w:t>
      </w:r>
      <w:r w:rsidR="00F811BE" w:rsidRPr="00062720">
        <w:rPr>
          <w:rFonts w:ascii="Arial" w:hAnsi="Arial" w:cs="Arial"/>
        </w:rPr>
        <w:t>aurants, lorsque leurs prestations s’adressent majoritairement à la population locale.</w:t>
      </w:r>
    </w:p>
    <w:p w14:paraId="25F93FC8" w14:textId="36EF4FB5" w:rsidR="00A92E47" w:rsidRPr="00A317DC" w:rsidRDefault="00F811BE" w:rsidP="00A317DC">
      <w:pPr>
        <w:pStyle w:val="Paragraphedeliste"/>
        <w:spacing w:before="240" w:after="240" w:line="240" w:lineRule="auto"/>
        <w:ind w:left="714"/>
        <w:contextualSpacing w:val="0"/>
        <w:rPr>
          <w:rFonts w:ascii="Arial" w:hAnsi="Arial" w:cs="Arial"/>
        </w:rPr>
      </w:pPr>
      <w:r w:rsidRPr="00062720">
        <w:rPr>
          <w:rFonts w:ascii="Arial" w:hAnsi="Arial" w:cs="Arial"/>
        </w:rPr>
        <w:t xml:space="preserve"> Si tel n’est pas le cas, ces restaurants peuvent cependant être pris en compte à condition qu’ils aient bien un </w:t>
      </w:r>
      <w:r w:rsidR="0027400E" w:rsidRPr="00062720">
        <w:rPr>
          <w:rFonts w:ascii="Arial" w:hAnsi="Arial" w:cs="Arial"/>
        </w:rPr>
        <w:t>caractère</w:t>
      </w:r>
      <w:r w:rsidRPr="00062720">
        <w:rPr>
          <w:rFonts w:ascii="Arial" w:hAnsi="Arial" w:cs="Arial"/>
        </w:rPr>
        <w:t xml:space="preserve"> permanent (ouverture au moins 10 mois sur 12, 5 jours par semaine et que leurs exploitant exercent, en sus, une activité commerciale complémentaire dans leur établissement </w:t>
      </w:r>
      <w:r w:rsidR="0027400E" w:rsidRPr="00062720">
        <w:rPr>
          <w:rFonts w:ascii="Arial" w:hAnsi="Arial" w:cs="Arial"/>
        </w:rPr>
        <w:t>(épicerie</w:t>
      </w:r>
      <w:r w:rsidRPr="00062720">
        <w:rPr>
          <w:rFonts w:ascii="Arial" w:hAnsi="Arial" w:cs="Arial"/>
        </w:rPr>
        <w:t xml:space="preserve">, point poste, dépôt de </w:t>
      </w:r>
      <w:r w:rsidR="003E0F29" w:rsidRPr="00062720">
        <w:rPr>
          <w:rFonts w:ascii="Arial" w:hAnsi="Arial" w:cs="Arial"/>
        </w:rPr>
        <w:t>pain…</w:t>
      </w:r>
      <w:r w:rsidRPr="00062720">
        <w:rPr>
          <w:rFonts w:ascii="Arial" w:hAnsi="Arial" w:cs="Arial"/>
        </w:rPr>
        <w:t xml:space="preserve">) </w:t>
      </w:r>
    </w:p>
    <w:p w14:paraId="7DBB4EF6" w14:textId="3B7D7C0A" w:rsidR="00F811BE" w:rsidRPr="00062720" w:rsidRDefault="00F811BE" w:rsidP="00A317DC">
      <w:pPr>
        <w:pStyle w:val="Paragraphedeliste"/>
        <w:numPr>
          <w:ilvl w:val="0"/>
          <w:numId w:val="31"/>
        </w:numPr>
        <w:spacing w:after="0" w:line="240" w:lineRule="auto"/>
        <w:rPr>
          <w:rFonts w:ascii="Arial" w:hAnsi="Arial" w:cs="Arial"/>
        </w:rPr>
      </w:pPr>
      <w:r w:rsidRPr="00062720">
        <w:rPr>
          <w:rFonts w:ascii="Arial" w:hAnsi="Arial" w:cs="Arial"/>
        </w:rPr>
        <w:t>Les services aux personnes et aux entreprises, à l’exclusion des entreprises de transports de marchandises</w:t>
      </w:r>
      <w:r w:rsidR="003E0211">
        <w:rPr>
          <w:rFonts w:ascii="Arial" w:hAnsi="Arial" w:cs="Arial"/>
        </w:rPr>
        <w:t>, les entreprises de conseil et formation.</w:t>
      </w:r>
    </w:p>
    <w:p w14:paraId="2BFBCB69" w14:textId="77777777" w:rsidR="007001AB" w:rsidRPr="003E0211" w:rsidRDefault="007001AB" w:rsidP="007001AB">
      <w:pPr>
        <w:spacing w:after="0"/>
        <w:rPr>
          <w:rFonts w:ascii="Arial" w:hAnsi="Arial" w:cs="Arial"/>
          <w:sz w:val="18"/>
          <w:szCs w:val="18"/>
        </w:rPr>
      </w:pPr>
    </w:p>
    <w:p w14:paraId="45D601AA" w14:textId="26BEE0FC" w:rsidR="00637C87" w:rsidRPr="00062720" w:rsidRDefault="00F811BE" w:rsidP="00F95DD9">
      <w:pPr>
        <w:spacing w:after="0"/>
        <w:rPr>
          <w:rFonts w:ascii="Arial" w:hAnsi="Arial" w:cs="Arial"/>
          <w:b/>
          <w:bCs/>
        </w:rPr>
      </w:pPr>
      <w:r w:rsidRPr="00062720">
        <w:rPr>
          <w:rFonts w:ascii="Arial" w:hAnsi="Arial" w:cs="Arial"/>
          <w:b/>
          <w:bCs/>
        </w:rPr>
        <w:t xml:space="preserve">Sont exclues </w:t>
      </w:r>
      <w:r w:rsidR="00873E7E" w:rsidRPr="00062720">
        <w:rPr>
          <w:rFonts w:ascii="Arial" w:hAnsi="Arial" w:cs="Arial"/>
          <w:b/>
          <w:bCs/>
        </w:rPr>
        <w:t>du champ</w:t>
      </w:r>
      <w:r w:rsidRPr="00062720">
        <w:rPr>
          <w:rFonts w:ascii="Arial" w:hAnsi="Arial" w:cs="Arial"/>
          <w:b/>
          <w:bCs/>
        </w:rPr>
        <w:t xml:space="preserve"> d’intervention des opérations collectives, les entreprises qui bien qu’inscrites au Répertoire des métiers ou au registre du commerce et des sociétés font partie :</w:t>
      </w:r>
    </w:p>
    <w:p w14:paraId="1B242937" w14:textId="073C5E4A" w:rsidR="00086389" w:rsidRPr="00062720" w:rsidRDefault="00873E7E" w:rsidP="00A842A0">
      <w:pPr>
        <w:pStyle w:val="Paragraphedeliste"/>
        <w:numPr>
          <w:ilvl w:val="0"/>
          <w:numId w:val="25"/>
        </w:numPr>
        <w:spacing w:before="240" w:line="360" w:lineRule="auto"/>
        <w:rPr>
          <w:rFonts w:ascii="Arial" w:hAnsi="Arial" w:cs="Arial"/>
        </w:rPr>
      </w:pPr>
      <w:r w:rsidRPr="00062720">
        <w:rPr>
          <w:rFonts w:ascii="Arial" w:hAnsi="Arial" w:cs="Arial"/>
        </w:rPr>
        <w:t>Des activités de commerce de gros ;</w:t>
      </w:r>
    </w:p>
    <w:p w14:paraId="032E2B8A" w14:textId="0100D191" w:rsidR="00873E7E" w:rsidRPr="00062720" w:rsidRDefault="00873E7E" w:rsidP="00DA1214">
      <w:pPr>
        <w:pStyle w:val="Paragraphedeliste"/>
        <w:numPr>
          <w:ilvl w:val="0"/>
          <w:numId w:val="25"/>
        </w:numPr>
        <w:spacing w:before="240" w:line="240" w:lineRule="auto"/>
        <w:ind w:left="714" w:hanging="357"/>
        <w:rPr>
          <w:rFonts w:ascii="Arial" w:hAnsi="Arial" w:cs="Arial"/>
        </w:rPr>
      </w:pPr>
      <w:r w:rsidRPr="00062720">
        <w:rPr>
          <w:rFonts w:ascii="Arial" w:hAnsi="Arial" w:cs="Arial"/>
        </w:rPr>
        <w:t>Des professions libérales, y compris les auto-écoles, les courtiers d’assurance, les agences immobili</w:t>
      </w:r>
      <w:r w:rsidR="003E2B6E">
        <w:rPr>
          <w:rFonts w:ascii="Arial" w:hAnsi="Arial" w:cs="Arial"/>
        </w:rPr>
        <w:t>ère</w:t>
      </w:r>
      <w:r w:rsidRPr="00062720">
        <w:rPr>
          <w:rFonts w:ascii="Arial" w:hAnsi="Arial" w:cs="Arial"/>
        </w:rPr>
        <w:t>s et les loueurs de fonds</w:t>
      </w:r>
      <w:r w:rsidR="003E2B6E">
        <w:rPr>
          <w:rFonts w:ascii="Arial" w:hAnsi="Arial" w:cs="Arial"/>
        </w:rPr>
        <w:t xml:space="preserve"> (banques, assurances, notaires, géomètres, cabinet vétérinaires…) </w:t>
      </w:r>
    </w:p>
    <w:p w14:paraId="14829C85" w14:textId="77777777" w:rsidR="00077353" w:rsidRPr="00062720" w:rsidRDefault="00077353" w:rsidP="00077353">
      <w:pPr>
        <w:pStyle w:val="Paragraphedeliste"/>
        <w:spacing w:before="240" w:line="240" w:lineRule="auto"/>
        <w:ind w:left="714"/>
        <w:rPr>
          <w:rFonts w:ascii="Arial" w:hAnsi="Arial" w:cs="Arial"/>
        </w:rPr>
      </w:pPr>
    </w:p>
    <w:p w14:paraId="3AB54A22" w14:textId="215E6CF2" w:rsidR="00077353" w:rsidRPr="00062720" w:rsidRDefault="00873E7E" w:rsidP="003E2B6E">
      <w:pPr>
        <w:pStyle w:val="Paragraphedeliste"/>
        <w:numPr>
          <w:ilvl w:val="0"/>
          <w:numId w:val="25"/>
        </w:numPr>
        <w:spacing w:after="120"/>
        <w:ind w:left="714" w:hanging="357"/>
        <w:contextualSpacing w:val="0"/>
        <w:rPr>
          <w:rFonts w:ascii="Arial" w:hAnsi="Arial" w:cs="Arial"/>
        </w:rPr>
      </w:pPr>
      <w:r w:rsidRPr="00062720">
        <w:rPr>
          <w:rFonts w:ascii="Arial" w:hAnsi="Arial" w:cs="Arial"/>
        </w:rPr>
        <w:t>Des professions de santé, y compris notamment les pharmaciens, les ambulanciers, les opticiens…, lorsque la majeure partie de leur CA provient des prestations de sant</w:t>
      </w:r>
      <w:r w:rsidR="00077353" w:rsidRPr="00062720">
        <w:rPr>
          <w:rFonts w:ascii="Arial" w:hAnsi="Arial" w:cs="Arial"/>
        </w:rPr>
        <w:t xml:space="preserve">é ; </w:t>
      </w:r>
    </w:p>
    <w:p w14:paraId="28326040" w14:textId="7ECE15BD" w:rsidR="00077353" w:rsidRDefault="00873E7E" w:rsidP="003E2B6E">
      <w:pPr>
        <w:pStyle w:val="Paragraphedeliste"/>
        <w:numPr>
          <w:ilvl w:val="0"/>
          <w:numId w:val="25"/>
        </w:numPr>
        <w:spacing w:before="120"/>
        <w:ind w:left="714" w:hanging="357"/>
        <w:contextualSpacing w:val="0"/>
        <w:rPr>
          <w:rFonts w:ascii="Arial" w:hAnsi="Arial" w:cs="Arial"/>
        </w:rPr>
      </w:pPr>
      <w:r w:rsidRPr="00062720">
        <w:rPr>
          <w:rFonts w:ascii="Arial" w:hAnsi="Arial" w:cs="Arial"/>
        </w:rPr>
        <w:t>Des activités liées au tourisme telles que les campings, les restaurants gastronomiques, les hôtels et les hôtels-restaurants.</w:t>
      </w:r>
    </w:p>
    <w:p w14:paraId="4324FFC7" w14:textId="56184446" w:rsidR="003E2B6E" w:rsidRDefault="003E2B6E" w:rsidP="003E2B6E">
      <w:pPr>
        <w:pStyle w:val="Paragraphedeliste"/>
        <w:numPr>
          <w:ilvl w:val="0"/>
          <w:numId w:val="25"/>
        </w:numPr>
        <w:spacing w:before="120"/>
        <w:ind w:left="714" w:hanging="357"/>
        <w:contextualSpacing w:val="0"/>
        <w:rPr>
          <w:rFonts w:ascii="Arial" w:hAnsi="Arial" w:cs="Arial"/>
        </w:rPr>
      </w:pPr>
      <w:r>
        <w:rPr>
          <w:rFonts w:ascii="Arial" w:hAnsi="Arial" w:cs="Arial"/>
        </w:rPr>
        <w:t xml:space="preserve">Des activités agricoles ; </w:t>
      </w:r>
    </w:p>
    <w:p w14:paraId="25462CD9" w14:textId="580C50B7" w:rsidR="00327770" w:rsidRDefault="003E2B6E" w:rsidP="003E2B6E">
      <w:pPr>
        <w:pStyle w:val="Paragraphedeliste"/>
        <w:numPr>
          <w:ilvl w:val="0"/>
          <w:numId w:val="25"/>
        </w:numPr>
        <w:spacing w:before="120"/>
        <w:ind w:left="714" w:hanging="357"/>
        <w:contextualSpacing w:val="0"/>
        <w:rPr>
          <w:rFonts w:ascii="Arial" w:hAnsi="Arial" w:cs="Arial"/>
        </w:rPr>
      </w:pPr>
      <w:r>
        <w:rPr>
          <w:rFonts w:ascii="Arial" w:hAnsi="Arial" w:cs="Arial"/>
        </w:rPr>
        <w:lastRenderedPageBreak/>
        <w:t>Des activités touristiques.</w:t>
      </w:r>
    </w:p>
    <w:p w14:paraId="6B816873" w14:textId="6F0FE391" w:rsidR="003E0211" w:rsidRDefault="003E0211" w:rsidP="003E2B6E">
      <w:pPr>
        <w:pStyle w:val="Paragraphedeliste"/>
        <w:numPr>
          <w:ilvl w:val="0"/>
          <w:numId w:val="25"/>
        </w:numPr>
        <w:spacing w:before="120"/>
        <w:ind w:left="714" w:hanging="357"/>
        <w:contextualSpacing w:val="0"/>
        <w:rPr>
          <w:rFonts w:ascii="Arial" w:hAnsi="Arial" w:cs="Arial"/>
        </w:rPr>
      </w:pPr>
      <w:r>
        <w:rPr>
          <w:rFonts w:ascii="Arial" w:hAnsi="Arial" w:cs="Arial"/>
        </w:rPr>
        <w:t>Des activités culturelles</w:t>
      </w:r>
    </w:p>
    <w:p w14:paraId="4F9A2A29" w14:textId="7B265BEF" w:rsidR="00CE1D49" w:rsidRDefault="00CE1D49" w:rsidP="00CE1D49">
      <w:pPr>
        <w:pStyle w:val="Paragraphedeliste"/>
        <w:numPr>
          <w:ilvl w:val="0"/>
          <w:numId w:val="25"/>
        </w:numPr>
        <w:spacing w:before="120"/>
        <w:ind w:left="714"/>
        <w:contextualSpacing w:val="0"/>
        <w:rPr>
          <w:rFonts w:ascii="Arial" w:hAnsi="Arial" w:cs="Arial"/>
        </w:rPr>
      </w:pPr>
      <w:r w:rsidRPr="00CE1D49">
        <w:rPr>
          <w:rFonts w:ascii="Arial" w:hAnsi="Arial" w:cs="Arial"/>
        </w:rPr>
        <w:t>Les sociétés civiles immobilières (SCI)</w:t>
      </w:r>
    </w:p>
    <w:p w14:paraId="09A1CB6D" w14:textId="52408FCB" w:rsidR="00834028" w:rsidRPr="00EC7E55" w:rsidRDefault="00834028" w:rsidP="00CE1D49">
      <w:pPr>
        <w:pStyle w:val="Paragraphedeliste"/>
        <w:numPr>
          <w:ilvl w:val="0"/>
          <w:numId w:val="25"/>
        </w:numPr>
        <w:spacing w:before="120"/>
        <w:ind w:left="714"/>
        <w:contextualSpacing w:val="0"/>
        <w:rPr>
          <w:rFonts w:ascii="Arial" w:hAnsi="Arial" w:cs="Arial"/>
          <w:color w:val="ED7D31" w:themeColor="accent2"/>
        </w:rPr>
      </w:pPr>
      <w:r w:rsidRPr="00EC7E55">
        <w:rPr>
          <w:rFonts w:ascii="Arial" w:hAnsi="Arial" w:cs="Arial"/>
          <w:color w:val="ED7D31" w:themeColor="accent2"/>
        </w:rPr>
        <w:t>Les micros-entrepreneurs.</w:t>
      </w:r>
    </w:p>
    <w:p w14:paraId="4631946F" w14:textId="77777777" w:rsidR="003E0211" w:rsidRPr="00DD0C44" w:rsidRDefault="003E0211" w:rsidP="003E0211">
      <w:pPr>
        <w:pStyle w:val="Paragraphedeliste"/>
        <w:spacing w:before="120"/>
        <w:ind w:left="714"/>
        <w:contextualSpacing w:val="0"/>
        <w:rPr>
          <w:rFonts w:ascii="Arial" w:hAnsi="Arial" w:cs="Arial"/>
          <w:sz w:val="16"/>
          <w:szCs w:val="16"/>
        </w:rPr>
      </w:pPr>
    </w:p>
    <w:p w14:paraId="5984D4DB" w14:textId="54AA8B77" w:rsidR="00873E7E" w:rsidRPr="00754787" w:rsidRDefault="00327770" w:rsidP="00327770">
      <w:pPr>
        <w:pBdr>
          <w:bottom w:val="single" w:sz="12" w:space="1" w:color="auto"/>
        </w:pBdr>
        <w:spacing w:before="120" w:after="240"/>
        <w:rPr>
          <w:rFonts w:ascii="Arial" w:hAnsi="Arial" w:cs="Arial"/>
          <w:b/>
          <w:bCs/>
          <w:color w:val="4472C4" w:themeColor="accent1"/>
          <w:sz w:val="24"/>
          <w:szCs w:val="24"/>
        </w:rPr>
      </w:pPr>
      <w:r w:rsidRPr="00754787">
        <w:rPr>
          <w:rFonts w:ascii="Arial" w:hAnsi="Arial" w:cs="Arial"/>
          <w:b/>
          <w:bCs/>
          <w:color w:val="4472C4" w:themeColor="accent1"/>
          <w:sz w:val="24"/>
          <w:szCs w:val="24"/>
        </w:rPr>
        <w:t>2</w:t>
      </w:r>
      <w:r w:rsidR="00E162AD" w:rsidRPr="00754787">
        <w:rPr>
          <w:rFonts w:ascii="Arial" w:hAnsi="Arial" w:cs="Arial"/>
          <w:b/>
          <w:bCs/>
          <w:color w:val="4472C4" w:themeColor="accent1"/>
          <w:sz w:val="24"/>
          <w:szCs w:val="24"/>
        </w:rPr>
        <w:t xml:space="preserve"> </w:t>
      </w:r>
      <w:r w:rsidRPr="00754787">
        <w:rPr>
          <w:rFonts w:ascii="Arial" w:hAnsi="Arial" w:cs="Arial"/>
          <w:b/>
          <w:bCs/>
          <w:color w:val="4472C4" w:themeColor="accent1"/>
          <w:sz w:val="24"/>
          <w:szCs w:val="24"/>
        </w:rPr>
        <w:t xml:space="preserve">/ </w:t>
      </w:r>
      <w:r w:rsidR="00873E7E" w:rsidRPr="00754787">
        <w:rPr>
          <w:rFonts w:ascii="Arial" w:hAnsi="Arial" w:cs="Arial"/>
          <w:b/>
          <w:bCs/>
          <w:color w:val="4472C4" w:themeColor="accent1"/>
          <w:sz w:val="24"/>
          <w:szCs w:val="24"/>
        </w:rPr>
        <w:t>ENTREPRISES CONCERNÉES</w:t>
      </w:r>
    </w:p>
    <w:p w14:paraId="0F9E9641" w14:textId="4B816A73" w:rsidR="00873E7E" w:rsidRPr="00062720" w:rsidRDefault="00873E7E" w:rsidP="00327770">
      <w:pPr>
        <w:spacing w:after="240" w:line="240" w:lineRule="auto"/>
        <w:rPr>
          <w:rFonts w:ascii="Arial" w:hAnsi="Arial" w:cs="Arial"/>
        </w:rPr>
      </w:pPr>
      <w:r w:rsidRPr="00062720">
        <w:rPr>
          <w:rFonts w:ascii="Arial" w:hAnsi="Arial" w:cs="Arial"/>
        </w:rPr>
        <w:t xml:space="preserve">Il s’agit des entreprises sédentaires et non sédentaires répondant aux conditions définies par la recommandation 2003/361/CE de la Commission du 6 mai 2003 et plus précisément les entreprises commerciales, artisanales et de services, individuelles ou sociétaires, ainsi que leurs établissements secondaires, inscrit au Répertoire des métiers ou au Registre du Commerce et des sociétés : </w:t>
      </w:r>
    </w:p>
    <w:p w14:paraId="00C7B2D4" w14:textId="56E6422C" w:rsidR="00077353" w:rsidRPr="00062720" w:rsidRDefault="00873E7E" w:rsidP="00062720">
      <w:pPr>
        <w:pStyle w:val="Paragraphedeliste"/>
        <w:numPr>
          <w:ilvl w:val="0"/>
          <w:numId w:val="8"/>
        </w:numPr>
        <w:spacing w:before="240" w:after="240" w:line="240" w:lineRule="auto"/>
        <w:contextualSpacing w:val="0"/>
        <w:rPr>
          <w:rFonts w:ascii="Arial" w:hAnsi="Arial" w:cs="Arial"/>
        </w:rPr>
      </w:pPr>
      <w:r w:rsidRPr="00062720">
        <w:rPr>
          <w:rFonts w:ascii="Arial" w:hAnsi="Arial" w:cs="Arial"/>
        </w:rPr>
        <w:t xml:space="preserve">Dont le siège social ou le lieu de réalisation est situé dans le </w:t>
      </w:r>
      <w:r w:rsidR="00E83FCB" w:rsidRPr="00062720">
        <w:rPr>
          <w:rFonts w:ascii="Arial" w:hAnsi="Arial" w:cs="Arial"/>
        </w:rPr>
        <w:t xml:space="preserve">Territoire Sud Est Vendée ; </w:t>
      </w:r>
    </w:p>
    <w:p w14:paraId="1D52DC3C" w14:textId="0489FECC" w:rsidR="00077353" w:rsidRPr="00062720" w:rsidRDefault="00E83FCB" w:rsidP="00062720">
      <w:pPr>
        <w:pStyle w:val="Paragraphedeliste"/>
        <w:numPr>
          <w:ilvl w:val="0"/>
          <w:numId w:val="8"/>
        </w:numPr>
        <w:spacing w:before="240" w:after="240" w:line="240" w:lineRule="auto"/>
        <w:ind w:left="714" w:hanging="357"/>
        <w:contextualSpacing w:val="0"/>
        <w:rPr>
          <w:rFonts w:ascii="Arial" w:hAnsi="Arial" w:cs="Arial"/>
        </w:rPr>
      </w:pPr>
      <w:r w:rsidRPr="00062720">
        <w:rPr>
          <w:rFonts w:ascii="Arial" w:hAnsi="Arial" w:cs="Arial"/>
        </w:rPr>
        <w:t xml:space="preserve">Justifiant d’une année d’activité avec un compte de Bilan et de résultats de 12 mois, </w:t>
      </w:r>
    </w:p>
    <w:p w14:paraId="23C7FF98" w14:textId="0475B44D" w:rsidR="00E83FCB" w:rsidRPr="00062720" w:rsidRDefault="00E83FCB" w:rsidP="00077353">
      <w:pPr>
        <w:pStyle w:val="Paragraphedeliste"/>
        <w:numPr>
          <w:ilvl w:val="0"/>
          <w:numId w:val="8"/>
        </w:numPr>
        <w:spacing w:after="240" w:line="240" w:lineRule="auto"/>
        <w:ind w:left="714" w:hanging="357"/>
        <w:contextualSpacing w:val="0"/>
        <w:rPr>
          <w:rFonts w:ascii="Arial" w:hAnsi="Arial" w:cs="Arial"/>
        </w:rPr>
      </w:pPr>
      <w:r w:rsidRPr="00062720">
        <w:rPr>
          <w:rFonts w:ascii="Arial" w:hAnsi="Arial" w:cs="Arial"/>
        </w:rPr>
        <w:t xml:space="preserve">En situation économique et financière saine, dotées de capitaux propres positifs selon le dernier exercice comptable clôturé de 12 mois, et en situation régulière vis-à-vis de leurs obligations sociales et fiscales, </w:t>
      </w:r>
    </w:p>
    <w:p w14:paraId="6C2A2AAE" w14:textId="55085166" w:rsidR="00E83FCB" w:rsidRPr="00062720" w:rsidRDefault="00077353" w:rsidP="00062720">
      <w:pPr>
        <w:pStyle w:val="Paragraphedeliste"/>
        <w:numPr>
          <w:ilvl w:val="0"/>
          <w:numId w:val="8"/>
        </w:numPr>
        <w:ind w:left="714" w:hanging="357"/>
        <w:contextualSpacing w:val="0"/>
        <w:rPr>
          <w:rFonts w:ascii="Arial" w:hAnsi="Arial" w:cs="Arial"/>
        </w:rPr>
      </w:pPr>
      <w:r w:rsidRPr="00062720">
        <w:rPr>
          <w:rFonts w:ascii="Arial" w:hAnsi="Arial" w:cs="Arial"/>
        </w:rPr>
        <w:t>Avec</w:t>
      </w:r>
      <w:r w:rsidR="00E83FCB" w:rsidRPr="00062720">
        <w:rPr>
          <w:rFonts w:ascii="Arial" w:hAnsi="Arial" w:cs="Arial"/>
        </w:rPr>
        <w:t xml:space="preserve"> un chiffre d’affaire</w:t>
      </w:r>
      <w:r w:rsidR="00657831">
        <w:rPr>
          <w:rFonts w:ascii="Arial" w:hAnsi="Arial" w:cs="Arial"/>
        </w:rPr>
        <w:t>s</w:t>
      </w:r>
      <w:r w:rsidR="00E83FCB" w:rsidRPr="00062720">
        <w:rPr>
          <w:rFonts w:ascii="Arial" w:hAnsi="Arial" w:cs="Arial"/>
        </w:rPr>
        <w:t xml:space="preserve"> annuel hors taxes inférieur à 1</w:t>
      </w:r>
      <w:r w:rsidR="003E2B6E">
        <w:rPr>
          <w:rFonts w:ascii="Arial" w:hAnsi="Arial" w:cs="Arial"/>
        </w:rPr>
        <w:t xml:space="preserve"> 0</w:t>
      </w:r>
      <w:r w:rsidR="00E83FCB" w:rsidRPr="00062720">
        <w:rPr>
          <w:rFonts w:ascii="Arial" w:hAnsi="Arial" w:cs="Arial"/>
        </w:rPr>
        <w:t xml:space="preserve">00 000 €, </w:t>
      </w:r>
    </w:p>
    <w:p w14:paraId="65593DC9" w14:textId="6B9F5593" w:rsidR="00E83FCB" w:rsidRPr="00062720" w:rsidRDefault="00077353" w:rsidP="00062720">
      <w:pPr>
        <w:pStyle w:val="Paragraphedeliste"/>
        <w:numPr>
          <w:ilvl w:val="0"/>
          <w:numId w:val="8"/>
        </w:numPr>
        <w:ind w:left="714" w:hanging="357"/>
        <w:contextualSpacing w:val="0"/>
        <w:rPr>
          <w:rFonts w:ascii="Arial" w:hAnsi="Arial" w:cs="Arial"/>
        </w:rPr>
      </w:pPr>
      <w:r w:rsidRPr="00062720">
        <w:rPr>
          <w:rFonts w:ascii="Arial" w:hAnsi="Arial" w:cs="Arial"/>
        </w:rPr>
        <w:t>Dont</w:t>
      </w:r>
      <w:r w:rsidR="00E83FCB" w:rsidRPr="00062720">
        <w:rPr>
          <w:rFonts w:ascii="Arial" w:hAnsi="Arial" w:cs="Arial"/>
        </w:rPr>
        <w:t xml:space="preserve"> la surface de ventes est inférieure à 400 mètres carrés, </w:t>
      </w:r>
    </w:p>
    <w:p w14:paraId="25889523" w14:textId="45E03967" w:rsidR="00E83FCB" w:rsidRDefault="00077353" w:rsidP="00062720">
      <w:pPr>
        <w:pStyle w:val="Paragraphedeliste"/>
        <w:numPr>
          <w:ilvl w:val="0"/>
          <w:numId w:val="8"/>
        </w:numPr>
        <w:ind w:left="714" w:hanging="357"/>
        <w:contextualSpacing w:val="0"/>
        <w:rPr>
          <w:rFonts w:ascii="Arial" w:hAnsi="Arial" w:cs="Arial"/>
        </w:rPr>
      </w:pPr>
      <w:r w:rsidRPr="00062720">
        <w:rPr>
          <w:rFonts w:ascii="Arial" w:hAnsi="Arial" w:cs="Arial"/>
        </w:rPr>
        <w:t>Dont</w:t>
      </w:r>
      <w:r w:rsidR="00E83FCB" w:rsidRPr="00062720">
        <w:rPr>
          <w:rFonts w:ascii="Arial" w:hAnsi="Arial" w:cs="Arial"/>
        </w:rPr>
        <w:t xml:space="preserve"> l’effectif es</w:t>
      </w:r>
      <w:r w:rsidR="00A842A0" w:rsidRPr="00062720">
        <w:rPr>
          <w:rFonts w:ascii="Arial" w:hAnsi="Arial" w:cs="Arial"/>
        </w:rPr>
        <w:t>t</w:t>
      </w:r>
      <w:r w:rsidR="00E83FCB" w:rsidRPr="00062720">
        <w:rPr>
          <w:rFonts w:ascii="Arial" w:hAnsi="Arial" w:cs="Arial"/>
        </w:rPr>
        <w:t xml:space="preserve"> inférieur à 10 salariés, y compris ceux en contrat d’apprentissage.</w:t>
      </w:r>
    </w:p>
    <w:p w14:paraId="066D66EC" w14:textId="12EA66DF" w:rsidR="00327770" w:rsidRDefault="003E2B6E" w:rsidP="00CE1D49">
      <w:pPr>
        <w:pStyle w:val="Paragraphedeliste"/>
        <w:numPr>
          <w:ilvl w:val="0"/>
          <w:numId w:val="8"/>
        </w:numPr>
        <w:ind w:left="714" w:hanging="357"/>
        <w:contextualSpacing w:val="0"/>
        <w:rPr>
          <w:rFonts w:ascii="Arial" w:hAnsi="Arial" w:cs="Arial"/>
        </w:rPr>
      </w:pPr>
      <w:r>
        <w:rPr>
          <w:rFonts w:ascii="Arial" w:hAnsi="Arial" w:cs="Arial"/>
        </w:rPr>
        <w:t>Dont la clientèle est majoritairement constituée de particuliers.</w:t>
      </w:r>
    </w:p>
    <w:p w14:paraId="45792B70" w14:textId="77777777" w:rsidR="00CE1D49" w:rsidRPr="00CE1D49" w:rsidRDefault="00CE1D49" w:rsidP="00CE1D49">
      <w:pPr>
        <w:rPr>
          <w:rFonts w:ascii="Arial" w:hAnsi="Arial" w:cs="Arial"/>
        </w:rPr>
      </w:pPr>
    </w:p>
    <w:p w14:paraId="114E9B38" w14:textId="69AAB339" w:rsidR="00327770" w:rsidRPr="00754787" w:rsidRDefault="00DC2012" w:rsidP="00327770">
      <w:pPr>
        <w:pBdr>
          <w:bottom w:val="single" w:sz="12" w:space="1" w:color="auto"/>
        </w:pBdr>
        <w:spacing w:before="120" w:after="240"/>
        <w:rPr>
          <w:rFonts w:ascii="Arial" w:hAnsi="Arial" w:cs="Arial"/>
          <w:color w:val="4472C4" w:themeColor="accent1"/>
          <w:sz w:val="24"/>
          <w:szCs w:val="24"/>
        </w:rPr>
      </w:pPr>
      <w:r w:rsidRPr="00754787">
        <w:rPr>
          <w:rFonts w:ascii="Arial" w:hAnsi="Arial" w:cs="Arial"/>
          <w:b/>
          <w:bCs/>
          <w:color w:val="4472C4" w:themeColor="accent1"/>
          <w:sz w:val="24"/>
          <w:szCs w:val="24"/>
        </w:rPr>
        <w:t>3</w:t>
      </w:r>
      <w:r w:rsidR="00E162AD" w:rsidRPr="00754787">
        <w:rPr>
          <w:rFonts w:ascii="Arial" w:hAnsi="Arial" w:cs="Arial"/>
          <w:b/>
          <w:bCs/>
          <w:color w:val="4472C4" w:themeColor="accent1"/>
          <w:sz w:val="24"/>
          <w:szCs w:val="24"/>
        </w:rPr>
        <w:t xml:space="preserve"> </w:t>
      </w:r>
      <w:r w:rsidR="00327770" w:rsidRPr="00754787">
        <w:rPr>
          <w:rFonts w:ascii="Arial" w:hAnsi="Arial" w:cs="Arial"/>
          <w:b/>
          <w:bCs/>
          <w:color w:val="4472C4" w:themeColor="accent1"/>
          <w:sz w:val="24"/>
          <w:szCs w:val="24"/>
        </w:rPr>
        <w:t xml:space="preserve">/ </w:t>
      </w:r>
      <w:r w:rsidR="00E83FCB" w:rsidRPr="00754787">
        <w:rPr>
          <w:rFonts w:ascii="Arial" w:hAnsi="Arial" w:cs="Arial"/>
          <w:b/>
          <w:bCs/>
          <w:color w:val="4472C4" w:themeColor="accent1"/>
          <w:sz w:val="24"/>
          <w:szCs w:val="24"/>
        </w:rPr>
        <w:t>NATURE DES DEPENSE</w:t>
      </w:r>
      <w:r w:rsidR="00E33793" w:rsidRPr="00754787">
        <w:rPr>
          <w:rFonts w:ascii="Arial" w:hAnsi="Arial" w:cs="Arial"/>
          <w:b/>
          <w:bCs/>
          <w:color w:val="4472C4" w:themeColor="accent1"/>
          <w:sz w:val="24"/>
          <w:szCs w:val="24"/>
        </w:rPr>
        <w:t>S</w:t>
      </w:r>
      <w:r w:rsidR="00E83FCB" w:rsidRPr="00754787">
        <w:rPr>
          <w:rFonts w:ascii="Arial" w:hAnsi="Arial" w:cs="Arial"/>
          <w:b/>
          <w:bCs/>
          <w:color w:val="4472C4" w:themeColor="accent1"/>
          <w:sz w:val="24"/>
          <w:szCs w:val="24"/>
        </w:rPr>
        <w:t xml:space="preserve"> ELIGIBLES</w:t>
      </w:r>
    </w:p>
    <w:p w14:paraId="6FDC53A5" w14:textId="0BC14A5D" w:rsidR="00A842A0" w:rsidRPr="00A842A0" w:rsidRDefault="00E83FCB" w:rsidP="00327770">
      <w:pPr>
        <w:pStyle w:val="Paragraphedeliste"/>
        <w:spacing w:before="120" w:after="240" w:line="360" w:lineRule="auto"/>
        <w:rPr>
          <w:rFonts w:ascii="Arial" w:hAnsi="Arial" w:cs="Arial"/>
          <w:b/>
          <w:bCs/>
          <w:i/>
          <w:iCs/>
          <w:u w:val="single"/>
        </w:rPr>
      </w:pPr>
      <w:r w:rsidRPr="003E7F22">
        <w:rPr>
          <w:rFonts w:ascii="Arial" w:hAnsi="Arial" w:cs="Arial"/>
          <w:b/>
          <w:bCs/>
          <w:i/>
          <w:iCs/>
          <w:u w:val="single"/>
        </w:rPr>
        <w:t xml:space="preserve">Axe 1 : Modernisation de l’Outil de production </w:t>
      </w:r>
    </w:p>
    <w:p w14:paraId="596C41A1" w14:textId="7228ADB2" w:rsidR="00E83FCB" w:rsidRPr="00062720" w:rsidRDefault="00E83FCB" w:rsidP="00A842A0">
      <w:pPr>
        <w:pStyle w:val="Paragraphedeliste"/>
        <w:spacing w:before="120" w:line="360" w:lineRule="auto"/>
        <w:rPr>
          <w:rFonts w:ascii="Arial" w:hAnsi="Arial" w:cs="Arial"/>
        </w:rPr>
      </w:pPr>
      <w:r w:rsidRPr="00062720">
        <w:rPr>
          <w:rFonts w:ascii="Arial" w:hAnsi="Arial" w:cs="Arial"/>
        </w:rPr>
        <w:t>Les dépenses liées à :</w:t>
      </w:r>
    </w:p>
    <w:p w14:paraId="42BE2EBD" w14:textId="7C89FB99" w:rsidR="003E7F22" w:rsidRPr="00062720" w:rsidRDefault="00E83FCB" w:rsidP="00062720">
      <w:pPr>
        <w:pStyle w:val="Paragraphedeliste"/>
        <w:numPr>
          <w:ilvl w:val="0"/>
          <w:numId w:val="20"/>
        </w:numPr>
        <w:spacing w:line="240" w:lineRule="auto"/>
        <w:ind w:left="714" w:hanging="357"/>
        <w:contextualSpacing w:val="0"/>
        <w:rPr>
          <w:rFonts w:ascii="Arial" w:hAnsi="Arial" w:cs="Arial"/>
        </w:rPr>
      </w:pPr>
      <w:r w:rsidRPr="00062720">
        <w:rPr>
          <w:rFonts w:ascii="Arial" w:hAnsi="Arial" w:cs="Arial"/>
        </w:rPr>
        <w:t>La modernisation des locaux d’activité qui inclut les équipements professionnels</w:t>
      </w:r>
      <w:r w:rsidR="0058465D">
        <w:rPr>
          <w:rFonts w:ascii="Arial" w:hAnsi="Arial" w:cs="Arial"/>
        </w:rPr>
        <w:t xml:space="preserve"> neufs</w:t>
      </w:r>
      <w:r w:rsidRPr="00062720">
        <w:rPr>
          <w:rFonts w:ascii="Arial" w:hAnsi="Arial" w:cs="Arial"/>
        </w:rPr>
        <w:t xml:space="preserve"> et la rénovation des vitrines, des huisseries, des façades, des enseignes</w:t>
      </w:r>
      <w:r w:rsidR="00E33793" w:rsidRPr="00062720">
        <w:rPr>
          <w:rFonts w:ascii="Arial" w:hAnsi="Arial" w:cs="Arial"/>
        </w:rPr>
        <w:t xml:space="preserve"> ; </w:t>
      </w:r>
    </w:p>
    <w:p w14:paraId="5DC009F8" w14:textId="184F2A0C" w:rsidR="00E33793" w:rsidRDefault="00E33793" w:rsidP="00CE4A64">
      <w:pPr>
        <w:pStyle w:val="Paragraphedeliste"/>
        <w:numPr>
          <w:ilvl w:val="0"/>
          <w:numId w:val="20"/>
        </w:numPr>
        <w:ind w:left="714" w:hanging="357"/>
        <w:contextualSpacing w:val="0"/>
        <w:rPr>
          <w:rFonts w:ascii="Arial" w:hAnsi="Arial" w:cs="Arial"/>
        </w:rPr>
      </w:pPr>
      <w:r w:rsidRPr="00062720">
        <w:rPr>
          <w:rFonts w:ascii="Arial" w:hAnsi="Arial" w:cs="Arial"/>
        </w:rPr>
        <w:t>Une démarche de transition énergétique ou toute démarche environnementale (réduction de la consommation en eau, en énergie, le tri et recyclage des déchets</w:t>
      </w:r>
      <w:r w:rsidR="0058465D">
        <w:rPr>
          <w:rFonts w:ascii="Arial" w:hAnsi="Arial" w:cs="Arial"/>
        </w:rPr>
        <w:t>…</w:t>
      </w:r>
      <w:r w:rsidRPr="00062720">
        <w:rPr>
          <w:rFonts w:ascii="Arial" w:hAnsi="Arial" w:cs="Arial"/>
        </w:rPr>
        <w:t xml:space="preserve">) </w:t>
      </w:r>
    </w:p>
    <w:p w14:paraId="6E57DB5B" w14:textId="0610B30C" w:rsidR="0058465D" w:rsidRPr="003524D3" w:rsidRDefault="00CE4A64" w:rsidP="003524D3">
      <w:pPr>
        <w:pStyle w:val="Paragraphedeliste"/>
        <w:numPr>
          <w:ilvl w:val="0"/>
          <w:numId w:val="20"/>
        </w:numPr>
        <w:ind w:left="714" w:hanging="357"/>
        <w:contextualSpacing w:val="0"/>
        <w:rPr>
          <w:rFonts w:ascii="Arial" w:hAnsi="Arial" w:cs="Arial"/>
        </w:rPr>
      </w:pPr>
      <w:r>
        <w:rPr>
          <w:rFonts w:ascii="Arial" w:hAnsi="Arial" w:cs="Arial"/>
        </w:rPr>
        <w:t xml:space="preserve">L’acquisition </w:t>
      </w:r>
      <w:r w:rsidR="0058465D">
        <w:rPr>
          <w:rFonts w:ascii="Arial" w:hAnsi="Arial" w:cs="Arial"/>
        </w:rPr>
        <w:t xml:space="preserve">et l’aménagement </w:t>
      </w:r>
      <w:r>
        <w:rPr>
          <w:rFonts w:ascii="Arial" w:hAnsi="Arial" w:cs="Arial"/>
        </w:rPr>
        <w:t xml:space="preserve">de véhicules </w:t>
      </w:r>
      <w:r w:rsidR="0058465D">
        <w:rPr>
          <w:rFonts w:ascii="Arial" w:hAnsi="Arial" w:cs="Arial"/>
        </w:rPr>
        <w:t xml:space="preserve">neufs </w:t>
      </w:r>
      <w:r>
        <w:rPr>
          <w:rFonts w:ascii="Arial" w:hAnsi="Arial" w:cs="Arial"/>
        </w:rPr>
        <w:t>de type utilitaire avec apposition du nom de la société à l’extérieur</w:t>
      </w:r>
      <w:r w:rsidR="00834028">
        <w:rPr>
          <w:rFonts w:ascii="Arial" w:hAnsi="Arial" w:cs="Arial"/>
        </w:rPr>
        <w:t xml:space="preserve"> dans la mesure où il est </w:t>
      </w:r>
      <w:r w:rsidR="00E90CDC">
        <w:rPr>
          <w:rFonts w:ascii="Arial" w:hAnsi="Arial" w:cs="Arial"/>
        </w:rPr>
        <w:t>établi</w:t>
      </w:r>
      <w:r w:rsidR="00834028">
        <w:rPr>
          <w:rFonts w:ascii="Arial" w:hAnsi="Arial" w:cs="Arial"/>
        </w:rPr>
        <w:t xml:space="preserve"> que</w:t>
      </w:r>
      <w:r w:rsidR="00E90CDC">
        <w:rPr>
          <w:rFonts w:ascii="Arial" w:hAnsi="Arial" w:cs="Arial"/>
        </w:rPr>
        <w:t xml:space="preserve"> cette</w:t>
      </w:r>
      <w:r w:rsidR="00834028">
        <w:rPr>
          <w:rFonts w:ascii="Arial" w:hAnsi="Arial" w:cs="Arial"/>
        </w:rPr>
        <w:t xml:space="preserve"> modernisation favorise le développement de l’activité et ne consiste pas en un simple renouvellement de véhicule.</w:t>
      </w:r>
    </w:p>
    <w:p w14:paraId="70117ABC" w14:textId="77777777" w:rsidR="003E7F22" w:rsidRPr="00062720" w:rsidRDefault="003E7F22" w:rsidP="003E7F22">
      <w:pPr>
        <w:pStyle w:val="Paragraphedeliste"/>
        <w:ind w:left="1440"/>
        <w:rPr>
          <w:rFonts w:ascii="Arial" w:hAnsi="Arial" w:cs="Arial"/>
        </w:rPr>
      </w:pPr>
    </w:p>
    <w:p w14:paraId="0E224E0D" w14:textId="35E3F327" w:rsidR="00E33793" w:rsidRPr="003E7F22" w:rsidRDefault="00E33793" w:rsidP="003E7F22">
      <w:pPr>
        <w:pStyle w:val="Paragraphedeliste"/>
        <w:rPr>
          <w:rFonts w:ascii="Arial" w:hAnsi="Arial" w:cs="Arial"/>
          <w:b/>
          <w:bCs/>
          <w:i/>
          <w:iCs/>
          <w:u w:val="single"/>
        </w:rPr>
      </w:pPr>
      <w:r w:rsidRPr="003E7F22">
        <w:rPr>
          <w:rFonts w:ascii="Arial" w:hAnsi="Arial" w:cs="Arial"/>
          <w:b/>
          <w:bCs/>
          <w:i/>
          <w:iCs/>
          <w:u w:val="single"/>
        </w:rPr>
        <w:t>Axe 2 : L’accessibilité des locaux </w:t>
      </w:r>
    </w:p>
    <w:p w14:paraId="04F402AD" w14:textId="2D3818B2" w:rsidR="00E33793" w:rsidRDefault="00E33793" w:rsidP="00E33793">
      <w:pPr>
        <w:ind w:left="708"/>
        <w:rPr>
          <w:rFonts w:ascii="Arial" w:hAnsi="Arial" w:cs="Arial"/>
        </w:rPr>
      </w:pPr>
      <w:r w:rsidRPr="00062720">
        <w:rPr>
          <w:rFonts w:ascii="Arial" w:hAnsi="Arial" w:cs="Arial"/>
        </w:rPr>
        <w:t xml:space="preserve">Les dépenses liées à : </w:t>
      </w:r>
    </w:p>
    <w:p w14:paraId="3584240F" w14:textId="77777777" w:rsidR="00EC7E55" w:rsidRPr="00EC7E55" w:rsidRDefault="00EC7E55" w:rsidP="00EC7E55">
      <w:pPr>
        <w:pStyle w:val="Paragraphedeliste"/>
        <w:numPr>
          <w:ilvl w:val="0"/>
          <w:numId w:val="21"/>
        </w:numPr>
        <w:spacing w:line="360" w:lineRule="auto"/>
        <w:contextualSpacing w:val="0"/>
        <w:rPr>
          <w:rFonts w:ascii="Arial" w:hAnsi="Arial" w:cs="Arial"/>
          <w:color w:val="ED7D31" w:themeColor="accent2"/>
        </w:rPr>
      </w:pPr>
      <w:r w:rsidRPr="00EC7E55">
        <w:rPr>
          <w:rFonts w:ascii="Arial" w:hAnsi="Arial" w:cs="Arial"/>
          <w:color w:val="ED7D31" w:themeColor="accent2"/>
        </w:rPr>
        <w:t>L’accessibilité au stationnement et au cheminement vers les locaux.</w:t>
      </w:r>
    </w:p>
    <w:p w14:paraId="2D34D2F9" w14:textId="6F733DC3" w:rsidR="00E33793" w:rsidRPr="00062720" w:rsidRDefault="00E33793" w:rsidP="00062720">
      <w:pPr>
        <w:pStyle w:val="Paragraphedeliste"/>
        <w:numPr>
          <w:ilvl w:val="0"/>
          <w:numId w:val="21"/>
        </w:numPr>
        <w:spacing w:line="240" w:lineRule="auto"/>
        <w:ind w:left="714" w:hanging="357"/>
        <w:contextualSpacing w:val="0"/>
        <w:rPr>
          <w:rFonts w:ascii="Arial" w:hAnsi="Arial" w:cs="Arial"/>
        </w:rPr>
      </w:pPr>
      <w:r w:rsidRPr="00062720">
        <w:rPr>
          <w:rFonts w:ascii="Arial" w:hAnsi="Arial" w:cs="Arial"/>
        </w:rPr>
        <w:t xml:space="preserve">L’aménagement destiné à faciliter l’accessibilité aux personnes handicapées et à mobilité réduite, </w:t>
      </w:r>
    </w:p>
    <w:p w14:paraId="7FE9EBBE" w14:textId="2B766CB3" w:rsidR="00C16821" w:rsidRDefault="00E33793" w:rsidP="00AC6A1A">
      <w:pPr>
        <w:pStyle w:val="Paragraphedeliste"/>
        <w:numPr>
          <w:ilvl w:val="0"/>
          <w:numId w:val="21"/>
        </w:numPr>
        <w:spacing w:line="360" w:lineRule="auto"/>
        <w:ind w:left="714" w:hanging="357"/>
        <w:contextualSpacing w:val="0"/>
        <w:rPr>
          <w:rFonts w:ascii="Arial" w:hAnsi="Arial" w:cs="Arial"/>
        </w:rPr>
      </w:pPr>
      <w:r w:rsidRPr="00062720">
        <w:rPr>
          <w:rFonts w:ascii="Arial" w:hAnsi="Arial" w:cs="Arial"/>
        </w:rPr>
        <w:t xml:space="preserve">Les équipements destinés à assurer la </w:t>
      </w:r>
      <w:r w:rsidR="003524D3">
        <w:rPr>
          <w:rFonts w:ascii="Arial" w:hAnsi="Arial" w:cs="Arial"/>
        </w:rPr>
        <w:t>s</w:t>
      </w:r>
      <w:r w:rsidRPr="00062720">
        <w:rPr>
          <w:rFonts w:ascii="Arial" w:hAnsi="Arial" w:cs="Arial"/>
        </w:rPr>
        <w:t xml:space="preserve">écurité des </w:t>
      </w:r>
      <w:r w:rsidR="00444D3F">
        <w:rPr>
          <w:rFonts w:ascii="Arial" w:hAnsi="Arial" w:cs="Arial"/>
        </w:rPr>
        <w:t>personnes au sein des entreprises.</w:t>
      </w:r>
    </w:p>
    <w:p w14:paraId="7934C858" w14:textId="77777777" w:rsidR="00AC6A1A" w:rsidRPr="00AC6A1A" w:rsidRDefault="00AC6A1A" w:rsidP="00AC6A1A">
      <w:pPr>
        <w:pStyle w:val="Paragraphedeliste"/>
        <w:spacing w:line="360" w:lineRule="auto"/>
        <w:ind w:left="714"/>
        <w:contextualSpacing w:val="0"/>
        <w:rPr>
          <w:rFonts w:ascii="Arial" w:hAnsi="Arial" w:cs="Arial"/>
        </w:rPr>
      </w:pPr>
    </w:p>
    <w:p w14:paraId="32353BA2" w14:textId="05ED6936" w:rsidR="005C16F1" w:rsidRPr="003E7F22" w:rsidRDefault="005C16F1" w:rsidP="005C16F1">
      <w:pPr>
        <w:ind w:left="708"/>
        <w:rPr>
          <w:rFonts w:ascii="Arial" w:hAnsi="Arial" w:cs="Arial"/>
          <w:b/>
          <w:bCs/>
          <w:i/>
          <w:iCs/>
          <w:u w:val="single"/>
        </w:rPr>
      </w:pPr>
      <w:r w:rsidRPr="003E7F22">
        <w:rPr>
          <w:rFonts w:ascii="Arial" w:hAnsi="Arial" w:cs="Arial"/>
          <w:b/>
          <w:bCs/>
          <w:i/>
          <w:iCs/>
          <w:u w:val="single"/>
        </w:rPr>
        <w:t>Axe 3 : Le développement numérique</w:t>
      </w:r>
    </w:p>
    <w:p w14:paraId="5BE1CCDC" w14:textId="7415A6D0" w:rsidR="005C16F1" w:rsidRPr="00062720" w:rsidRDefault="005C16F1" w:rsidP="005C16F1">
      <w:pPr>
        <w:ind w:left="708"/>
        <w:rPr>
          <w:rFonts w:ascii="Arial" w:hAnsi="Arial" w:cs="Arial"/>
        </w:rPr>
      </w:pPr>
      <w:r w:rsidRPr="00062720">
        <w:rPr>
          <w:rFonts w:ascii="Arial" w:hAnsi="Arial" w:cs="Arial"/>
        </w:rPr>
        <w:t xml:space="preserve">Les dépenses liées à : </w:t>
      </w:r>
    </w:p>
    <w:p w14:paraId="7DAD7FAE" w14:textId="75FD04FC" w:rsidR="005C16F1" w:rsidRPr="00062720" w:rsidRDefault="005C16F1" w:rsidP="00CE4A64">
      <w:pPr>
        <w:pStyle w:val="Paragraphedeliste"/>
        <w:numPr>
          <w:ilvl w:val="0"/>
          <w:numId w:val="22"/>
        </w:numPr>
        <w:spacing w:after="120" w:line="360" w:lineRule="auto"/>
        <w:ind w:left="714" w:hanging="357"/>
        <w:contextualSpacing w:val="0"/>
        <w:rPr>
          <w:rFonts w:ascii="Arial" w:hAnsi="Arial" w:cs="Arial"/>
        </w:rPr>
      </w:pPr>
      <w:r w:rsidRPr="00062720">
        <w:rPr>
          <w:rFonts w:ascii="Arial" w:hAnsi="Arial" w:cs="Arial"/>
        </w:rPr>
        <w:t xml:space="preserve">L’acquisition d’outils informatiques </w:t>
      </w:r>
      <w:r w:rsidR="004C5E57">
        <w:rPr>
          <w:rFonts w:ascii="Arial" w:hAnsi="Arial" w:cs="Arial"/>
        </w:rPr>
        <w:t xml:space="preserve">neufs </w:t>
      </w:r>
      <w:r w:rsidRPr="00062720">
        <w:rPr>
          <w:rFonts w:ascii="Arial" w:hAnsi="Arial" w:cs="Arial"/>
        </w:rPr>
        <w:t>(matériels, logiciels</w:t>
      </w:r>
      <w:r w:rsidR="004C5E57">
        <w:rPr>
          <w:rFonts w:ascii="Arial" w:hAnsi="Arial" w:cs="Arial"/>
        </w:rPr>
        <w:t>…)</w:t>
      </w:r>
    </w:p>
    <w:p w14:paraId="7F50FC25" w14:textId="6796D88C" w:rsidR="00F95DD9" w:rsidRPr="00062720" w:rsidRDefault="005C16F1" w:rsidP="00CE4A64">
      <w:pPr>
        <w:pStyle w:val="Paragraphedeliste"/>
        <w:numPr>
          <w:ilvl w:val="0"/>
          <w:numId w:val="22"/>
        </w:numPr>
        <w:spacing w:after="120" w:line="240" w:lineRule="auto"/>
        <w:ind w:left="714" w:hanging="357"/>
        <w:contextualSpacing w:val="0"/>
        <w:rPr>
          <w:rFonts w:ascii="Arial" w:hAnsi="Arial" w:cs="Arial"/>
        </w:rPr>
      </w:pPr>
      <w:r w:rsidRPr="00062720">
        <w:rPr>
          <w:rFonts w:ascii="Arial" w:hAnsi="Arial" w:cs="Arial"/>
        </w:rPr>
        <w:t>La création de nouveaux services : vente en ligne, site Internet, communication</w:t>
      </w:r>
      <w:r w:rsidR="004C5E57">
        <w:rPr>
          <w:rFonts w:ascii="Arial" w:hAnsi="Arial" w:cs="Arial"/>
        </w:rPr>
        <w:t xml:space="preserve"> numérique</w:t>
      </w:r>
      <w:r w:rsidRPr="00062720">
        <w:rPr>
          <w:rFonts w:ascii="Arial" w:hAnsi="Arial" w:cs="Arial"/>
        </w:rPr>
        <w:t>.</w:t>
      </w:r>
    </w:p>
    <w:p w14:paraId="1F2046B8" w14:textId="77777777" w:rsidR="00F5185F" w:rsidRPr="00327770" w:rsidRDefault="00F5185F" w:rsidP="00AC6A1A">
      <w:pPr>
        <w:spacing w:after="0" w:line="240" w:lineRule="auto"/>
        <w:rPr>
          <w:rFonts w:ascii="Arial" w:hAnsi="Arial" w:cs="Arial"/>
          <w:b/>
          <w:bCs/>
          <w:i/>
          <w:iCs/>
          <w:u w:val="thick"/>
        </w:rPr>
      </w:pPr>
    </w:p>
    <w:tbl>
      <w:tblPr>
        <w:tblStyle w:val="Grilledutableau"/>
        <w:tblW w:w="9844" w:type="dxa"/>
        <w:tblLook w:val="04A0" w:firstRow="1" w:lastRow="0" w:firstColumn="1" w:lastColumn="0" w:noHBand="0" w:noVBand="1"/>
      </w:tblPr>
      <w:tblGrid>
        <w:gridCol w:w="9844"/>
      </w:tblGrid>
      <w:tr w:rsidR="007001AB" w14:paraId="1A1D9347" w14:textId="77777777" w:rsidTr="004C5E57">
        <w:trPr>
          <w:trHeight w:val="3002"/>
        </w:trPr>
        <w:tc>
          <w:tcPr>
            <w:tcW w:w="9844" w:type="dxa"/>
          </w:tcPr>
          <w:p w14:paraId="5ACC4931" w14:textId="5E9B6C92" w:rsidR="00A317DC" w:rsidRPr="003E2B6E" w:rsidRDefault="007001AB" w:rsidP="003E2B6E">
            <w:pPr>
              <w:spacing w:after="360"/>
              <w:rPr>
                <w:rFonts w:ascii="Arial" w:hAnsi="Arial" w:cs="Arial"/>
                <w:b/>
                <w:bCs/>
                <w:i/>
                <w:iCs/>
                <w:sz w:val="24"/>
                <w:szCs w:val="24"/>
                <w:u w:val="single"/>
              </w:rPr>
            </w:pPr>
            <w:r w:rsidRPr="00062720">
              <w:rPr>
                <w:rFonts w:ascii="Arial" w:hAnsi="Arial" w:cs="Arial"/>
                <w:b/>
                <w:bCs/>
                <w:sz w:val="24"/>
                <w:szCs w:val="24"/>
                <w:u w:val="single"/>
              </w:rPr>
              <w:t xml:space="preserve">En conséquence, ne sont pas éligibles : </w:t>
            </w:r>
          </w:p>
          <w:p w14:paraId="754EC51D" w14:textId="5548AA2A" w:rsidR="007001AB" w:rsidRDefault="007001AB" w:rsidP="00A317DC">
            <w:pPr>
              <w:pStyle w:val="Paragraphedeliste"/>
              <w:numPr>
                <w:ilvl w:val="0"/>
                <w:numId w:val="23"/>
              </w:numPr>
              <w:ind w:left="714" w:hanging="357"/>
              <w:contextualSpacing w:val="0"/>
              <w:rPr>
                <w:rFonts w:ascii="Arial" w:hAnsi="Arial" w:cs="Arial"/>
              </w:rPr>
            </w:pPr>
            <w:r w:rsidRPr="00062720">
              <w:rPr>
                <w:rFonts w:ascii="Arial" w:hAnsi="Arial" w:cs="Arial"/>
              </w:rPr>
              <w:t xml:space="preserve">Les investissements financés sous forme de location financière ou de crédit de bail, même si l’option d’achat in fine est prévue, </w:t>
            </w:r>
          </w:p>
          <w:p w14:paraId="5FB4F28F" w14:textId="77777777" w:rsidR="00A317DC" w:rsidRPr="00062720" w:rsidRDefault="00A317DC" w:rsidP="00A317DC">
            <w:pPr>
              <w:pStyle w:val="Paragraphedeliste"/>
              <w:ind w:left="714"/>
              <w:contextualSpacing w:val="0"/>
              <w:rPr>
                <w:rFonts w:ascii="Arial" w:hAnsi="Arial" w:cs="Arial"/>
              </w:rPr>
            </w:pPr>
          </w:p>
          <w:p w14:paraId="69ECCE9C" w14:textId="77777777" w:rsidR="007001AB" w:rsidRPr="00062720" w:rsidRDefault="007001AB" w:rsidP="00A317DC">
            <w:pPr>
              <w:pStyle w:val="Paragraphedeliste"/>
              <w:numPr>
                <w:ilvl w:val="0"/>
                <w:numId w:val="23"/>
              </w:numPr>
              <w:spacing w:line="360" w:lineRule="auto"/>
              <w:contextualSpacing w:val="0"/>
              <w:rPr>
                <w:rFonts w:ascii="Arial" w:hAnsi="Arial" w:cs="Arial"/>
              </w:rPr>
            </w:pPr>
            <w:r w:rsidRPr="00062720">
              <w:rPr>
                <w:rFonts w:ascii="Arial" w:hAnsi="Arial" w:cs="Arial"/>
              </w:rPr>
              <w:t xml:space="preserve">Les acquisitions foncières et immobilières, </w:t>
            </w:r>
          </w:p>
          <w:p w14:paraId="3D8A2240" w14:textId="77777777" w:rsidR="003E2B6E" w:rsidRDefault="007001AB" w:rsidP="003E2B6E">
            <w:pPr>
              <w:pStyle w:val="Paragraphedeliste"/>
              <w:numPr>
                <w:ilvl w:val="0"/>
                <w:numId w:val="23"/>
              </w:numPr>
              <w:ind w:left="714" w:hanging="357"/>
              <w:contextualSpacing w:val="0"/>
              <w:rPr>
                <w:rFonts w:ascii="Arial" w:hAnsi="Arial" w:cs="Arial"/>
              </w:rPr>
            </w:pPr>
            <w:r w:rsidRPr="00062720">
              <w:rPr>
                <w:rFonts w:ascii="Arial" w:hAnsi="Arial" w:cs="Arial"/>
              </w:rPr>
              <w:t>Le matériel roulant banalisé, sans aménagement spécifique et sans usage professionnel unique</w:t>
            </w:r>
          </w:p>
          <w:p w14:paraId="3D18E7D9" w14:textId="77777777" w:rsidR="004C5E57" w:rsidRDefault="004C5E57" w:rsidP="004C5E57">
            <w:pPr>
              <w:rPr>
                <w:rFonts w:ascii="Arial" w:hAnsi="Arial" w:cs="Arial"/>
              </w:rPr>
            </w:pPr>
          </w:p>
          <w:p w14:paraId="48F57466" w14:textId="77777777" w:rsidR="004C5E57" w:rsidRDefault="004C5E57" w:rsidP="004C5E57">
            <w:pPr>
              <w:pStyle w:val="Paragraphedeliste"/>
              <w:numPr>
                <w:ilvl w:val="0"/>
                <w:numId w:val="23"/>
              </w:numPr>
              <w:rPr>
                <w:rFonts w:ascii="Arial" w:hAnsi="Arial" w:cs="Arial"/>
              </w:rPr>
            </w:pPr>
            <w:r>
              <w:rPr>
                <w:rFonts w:ascii="Arial" w:hAnsi="Arial" w:cs="Arial"/>
              </w:rPr>
              <w:t>Le matériel d’occasion</w:t>
            </w:r>
          </w:p>
          <w:p w14:paraId="0B7F49D2" w14:textId="77777777" w:rsidR="004C5E57" w:rsidRPr="004C5E57" w:rsidRDefault="004C5E57" w:rsidP="004C5E57">
            <w:pPr>
              <w:pStyle w:val="Paragraphedeliste"/>
              <w:rPr>
                <w:rFonts w:ascii="Arial" w:hAnsi="Arial" w:cs="Arial"/>
              </w:rPr>
            </w:pPr>
          </w:p>
          <w:p w14:paraId="028DEF2F" w14:textId="45F7A804" w:rsidR="004C5E57" w:rsidRPr="004C5E57" w:rsidRDefault="004C5E57" w:rsidP="004C5E57">
            <w:pPr>
              <w:pStyle w:val="Paragraphedeliste"/>
              <w:rPr>
                <w:rFonts w:ascii="Arial" w:hAnsi="Arial" w:cs="Arial"/>
              </w:rPr>
            </w:pPr>
          </w:p>
        </w:tc>
      </w:tr>
    </w:tbl>
    <w:p w14:paraId="006C3AE2" w14:textId="5D74539C" w:rsidR="007A45B9" w:rsidRPr="007001AB" w:rsidRDefault="007A45B9" w:rsidP="007001AB">
      <w:pPr>
        <w:rPr>
          <w:rFonts w:ascii="Arial Narrow" w:hAnsi="Arial Narrow"/>
          <w:b/>
          <w:bCs/>
        </w:rPr>
      </w:pPr>
    </w:p>
    <w:p w14:paraId="2C9F2D13" w14:textId="67CA1570" w:rsidR="00061C24" w:rsidRPr="00754787" w:rsidRDefault="00E162AD" w:rsidP="00E162AD">
      <w:pPr>
        <w:pBdr>
          <w:bottom w:val="single" w:sz="12" w:space="1" w:color="auto"/>
        </w:pBdr>
        <w:spacing w:line="240" w:lineRule="auto"/>
        <w:rPr>
          <w:rFonts w:ascii="Arial" w:hAnsi="Arial" w:cs="Arial"/>
          <w:b/>
          <w:bCs/>
          <w:color w:val="4472C4" w:themeColor="accent1"/>
          <w:sz w:val="24"/>
          <w:szCs w:val="24"/>
        </w:rPr>
      </w:pPr>
      <w:r w:rsidRPr="00754787">
        <w:rPr>
          <w:rFonts w:ascii="Arial" w:hAnsi="Arial" w:cs="Arial"/>
          <w:b/>
          <w:bCs/>
          <w:color w:val="4472C4" w:themeColor="accent1"/>
          <w:sz w:val="24"/>
          <w:szCs w:val="24"/>
        </w:rPr>
        <w:t xml:space="preserve">4 / </w:t>
      </w:r>
      <w:r w:rsidR="00061C24" w:rsidRPr="00754787">
        <w:rPr>
          <w:rFonts w:ascii="Arial" w:hAnsi="Arial" w:cs="Arial"/>
          <w:b/>
          <w:bCs/>
          <w:color w:val="4472C4" w:themeColor="accent1"/>
          <w:sz w:val="24"/>
          <w:szCs w:val="24"/>
        </w:rPr>
        <w:t>MODALITES DE L’AIDE A LA MODERNISATION ET AU DEVELOPPEMENT DES ENTREPRISES.</w:t>
      </w:r>
    </w:p>
    <w:p w14:paraId="2FE80457" w14:textId="48E84DE7" w:rsidR="00061C24" w:rsidRPr="00062720" w:rsidRDefault="00061C24" w:rsidP="00062720">
      <w:pPr>
        <w:rPr>
          <w:rFonts w:ascii="Arial" w:hAnsi="Arial" w:cs="Arial"/>
        </w:rPr>
      </w:pPr>
      <w:r w:rsidRPr="00062720">
        <w:rPr>
          <w:rFonts w:ascii="Arial" w:hAnsi="Arial" w:cs="Arial"/>
        </w:rPr>
        <w:t xml:space="preserve">Les aides aux entreprises sont soumises à la </w:t>
      </w:r>
      <w:r w:rsidR="005C7440" w:rsidRPr="00062720">
        <w:rPr>
          <w:rFonts w:ascii="Arial" w:hAnsi="Arial" w:cs="Arial"/>
        </w:rPr>
        <w:t>règle</w:t>
      </w:r>
      <w:r w:rsidRPr="00062720">
        <w:rPr>
          <w:rFonts w:ascii="Arial" w:hAnsi="Arial" w:cs="Arial"/>
        </w:rPr>
        <w:t xml:space="preserve"> dite de « minimis » fixée par le règlement CE n°1998/2006 de la Commission du 15 décembre 2006.</w:t>
      </w:r>
    </w:p>
    <w:p w14:paraId="0170EB67" w14:textId="21D00A20" w:rsidR="00061C24" w:rsidRPr="00062720" w:rsidRDefault="00061C24" w:rsidP="00062720">
      <w:pPr>
        <w:rPr>
          <w:rFonts w:ascii="Arial" w:hAnsi="Arial" w:cs="Arial"/>
        </w:rPr>
      </w:pPr>
      <w:r w:rsidRPr="00062720">
        <w:rPr>
          <w:rFonts w:ascii="Arial" w:hAnsi="Arial" w:cs="Arial"/>
        </w:rPr>
        <w:t>Eventuellement dans l’</w:t>
      </w:r>
      <w:r w:rsidR="005C7440" w:rsidRPr="00062720">
        <w:rPr>
          <w:rFonts w:ascii="Arial" w:hAnsi="Arial" w:cs="Arial"/>
        </w:rPr>
        <w:t>hypothèse</w:t>
      </w:r>
      <w:r w:rsidRPr="00062720">
        <w:rPr>
          <w:rFonts w:ascii="Arial" w:hAnsi="Arial" w:cs="Arial"/>
        </w:rPr>
        <w:t xml:space="preserve"> où un autre régime serait accepté par la Commission Européenne pendant la durée de la présente convention, elles devront en respecter les règles.</w:t>
      </w:r>
    </w:p>
    <w:p w14:paraId="579F29BB" w14:textId="31ACA0BF" w:rsidR="00061C24" w:rsidRPr="00062720" w:rsidRDefault="00061C24" w:rsidP="00062720">
      <w:pPr>
        <w:rPr>
          <w:rFonts w:ascii="Arial" w:hAnsi="Arial" w:cs="Arial"/>
        </w:rPr>
      </w:pPr>
      <w:r w:rsidRPr="00062720">
        <w:rPr>
          <w:rFonts w:ascii="Arial" w:hAnsi="Arial" w:cs="Arial"/>
        </w:rPr>
        <w:t>Conformément au régime de « Minimis » rappelé ci-dessus, en présentant sa demande d’aide publiques perçues durant les trois dernières années</w:t>
      </w:r>
      <w:r w:rsidR="003E2B6E">
        <w:rPr>
          <w:rFonts w:ascii="Arial" w:hAnsi="Arial" w:cs="Arial"/>
        </w:rPr>
        <w:t>,</w:t>
      </w:r>
    </w:p>
    <w:p w14:paraId="3C7C2D71" w14:textId="22DE64F2" w:rsidR="00061C24" w:rsidRPr="00062720" w:rsidRDefault="00061C24" w:rsidP="00062720">
      <w:pPr>
        <w:rPr>
          <w:rFonts w:ascii="Arial" w:hAnsi="Arial" w:cs="Arial"/>
        </w:rPr>
      </w:pPr>
      <w:r w:rsidRPr="00062720">
        <w:rPr>
          <w:rFonts w:ascii="Arial" w:hAnsi="Arial" w:cs="Arial"/>
        </w:rPr>
        <w:t xml:space="preserve">Les aides seront attribuées avec les Conditions suivantes par entreprise : </w:t>
      </w:r>
    </w:p>
    <w:p w14:paraId="48D361CB" w14:textId="39FB524D" w:rsidR="00061C24" w:rsidRPr="00062720" w:rsidRDefault="00061C24" w:rsidP="00062720">
      <w:pPr>
        <w:pStyle w:val="Paragraphedeliste"/>
        <w:numPr>
          <w:ilvl w:val="0"/>
          <w:numId w:val="13"/>
        </w:numPr>
        <w:contextualSpacing w:val="0"/>
        <w:rPr>
          <w:rFonts w:ascii="Arial" w:hAnsi="Arial" w:cs="Arial"/>
        </w:rPr>
      </w:pPr>
      <w:r w:rsidRPr="00062720">
        <w:rPr>
          <w:rFonts w:ascii="Arial" w:hAnsi="Arial" w:cs="Arial"/>
        </w:rPr>
        <w:t>Plancher des dépenses subventionnables : 10 000 € HT</w:t>
      </w:r>
    </w:p>
    <w:p w14:paraId="4462413A" w14:textId="108D79D3" w:rsidR="00061C24" w:rsidRPr="00062720" w:rsidRDefault="00061C24" w:rsidP="00062720">
      <w:pPr>
        <w:pStyle w:val="Paragraphedeliste"/>
        <w:numPr>
          <w:ilvl w:val="0"/>
          <w:numId w:val="13"/>
        </w:numPr>
        <w:contextualSpacing w:val="0"/>
        <w:rPr>
          <w:rFonts w:ascii="Arial" w:hAnsi="Arial" w:cs="Arial"/>
        </w:rPr>
      </w:pPr>
      <w:r w:rsidRPr="00062720">
        <w:rPr>
          <w:rFonts w:ascii="Arial" w:hAnsi="Arial" w:cs="Arial"/>
        </w:rPr>
        <w:t>Plafond des dépenses subventionnables : 75 000 € HT</w:t>
      </w:r>
    </w:p>
    <w:p w14:paraId="39EE9100" w14:textId="1A683729" w:rsidR="00061C24" w:rsidRPr="00062720" w:rsidRDefault="00061C24" w:rsidP="00062720">
      <w:pPr>
        <w:rPr>
          <w:rFonts w:ascii="Arial" w:hAnsi="Arial" w:cs="Arial"/>
        </w:rPr>
      </w:pPr>
      <w:r w:rsidRPr="00062720">
        <w:rPr>
          <w:rFonts w:ascii="Arial" w:hAnsi="Arial" w:cs="Arial"/>
        </w:rPr>
        <w:t>Le taux d’intervention du Dispositif FISAC est de 20 % pour les investissements liés à la modernisation pour un total de dépenses plafonnées à 75 000 € HT, soit 15 000 € de subvention maximum.</w:t>
      </w:r>
    </w:p>
    <w:p w14:paraId="18B7CA10" w14:textId="61DDC8FA" w:rsidR="00C16821" w:rsidRPr="00062720" w:rsidRDefault="00061C24" w:rsidP="00062720">
      <w:pPr>
        <w:rPr>
          <w:rFonts w:ascii="Arial" w:hAnsi="Arial" w:cs="Arial"/>
        </w:rPr>
      </w:pPr>
      <w:r w:rsidRPr="00062720">
        <w:rPr>
          <w:rFonts w:ascii="Arial" w:hAnsi="Arial" w:cs="Arial"/>
        </w:rPr>
        <w:t>Le taux d’intervention du dispositif FISAC est de 30 % pour les investissements liés à la mise en Accessibilité pour des dépenses plafonnées à 75 000 €</w:t>
      </w:r>
      <w:r w:rsidR="004C5E57">
        <w:rPr>
          <w:rFonts w:ascii="Arial" w:hAnsi="Arial" w:cs="Arial"/>
        </w:rPr>
        <w:t xml:space="preserve"> HT</w:t>
      </w:r>
      <w:r w:rsidRPr="00062720">
        <w:rPr>
          <w:rFonts w:ascii="Arial" w:hAnsi="Arial" w:cs="Arial"/>
        </w:rPr>
        <w:t>, soit 22 500 € de subvention maximum.</w:t>
      </w:r>
    </w:p>
    <w:p w14:paraId="368371A2" w14:textId="54D3F152" w:rsidR="00C16821" w:rsidRPr="00AC6A1A" w:rsidRDefault="00061C24" w:rsidP="00AC6A1A">
      <w:pPr>
        <w:rPr>
          <w:rFonts w:ascii="Arial" w:hAnsi="Arial" w:cs="Arial"/>
        </w:rPr>
      </w:pPr>
      <w:r w:rsidRPr="002D3F56">
        <w:rPr>
          <w:rFonts w:ascii="Arial" w:hAnsi="Arial" w:cs="Arial"/>
        </w:rPr>
        <w:t xml:space="preserve">Le dispositif FISAC est cumulable avec les fonds Européen « Leader » à hauteur de 20% pour </w:t>
      </w:r>
      <w:r w:rsidR="005C7440" w:rsidRPr="002D3F56">
        <w:rPr>
          <w:rFonts w:ascii="Arial" w:hAnsi="Arial" w:cs="Arial"/>
        </w:rPr>
        <w:t>des investissements liés</w:t>
      </w:r>
      <w:r w:rsidRPr="002D3F56">
        <w:rPr>
          <w:rFonts w:ascii="Arial" w:hAnsi="Arial" w:cs="Arial"/>
        </w:rPr>
        <w:t xml:space="preserve"> à la modernisation et de 10 %</w:t>
      </w:r>
      <w:r w:rsidR="005C7440" w:rsidRPr="002D3F56">
        <w:rPr>
          <w:rFonts w:ascii="Arial" w:hAnsi="Arial" w:cs="Arial"/>
        </w:rPr>
        <w:t xml:space="preserve"> pour des investissements liés à l’accessibilité.</w:t>
      </w:r>
    </w:p>
    <w:p w14:paraId="5EE8BED1" w14:textId="7665B2A6" w:rsidR="005C7440" w:rsidRPr="00754787" w:rsidRDefault="007A45B9" w:rsidP="00E162AD">
      <w:pPr>
        <w:pBdr>
          <w:bottom w:val="single" w:sz="12" w:space="1" w:color="auto"/>
        </w:pBdr>
        <w:rPr>
          <w:rFonts w:ascii="Arial" w:hAnsi="Arial" w:cs="Arial"/>
          <w:b/>
          <w:bCs/>
          <w:color w:val="4472C4" w:themeColor="accent1"/>
          <w:sz w:val="24"/>
          <w:szCs w:val="24"/>
        </w:rPr>
      </w:pPr>
      <w:r w:rsidRPr="00754787">
        <w:rPr>
          <w:rFonts w:ascii="Arial" w:hAnsi="Arial" w:cs="Arial"/>
          <w:b/>
          <w:bCs/>
          <w:color w:val="4472C4" w:themeColor="accent1"/>
          <w:sz w:val="24"/>
          <w:szCs w:val="24"/>
        </w:rPr>
        <w:t>5</w:t>
      </w:r>
      <w:r w:rsidR="00E162AD" w:rsidRPr="00754787">
        <w:rPr>
          <w:rFonts w:ascii="Arial" w:hAnsi="Arial" w:cs="Arial"/>
          <w:b/>
          <w:bCs/>
          <w:color w:val="4472C4" w:themeColor="accent1"/>
          <w:sz w:val="24"/>
          <w:szCs w:val="24"/>
        </w:rPr>
        <w:t xml:space="preserve"> / </w:t>
      </w:r>
      <w:r w:rsidR="005C7440" w:rsidRPr="00754787">
        <w:rPr>
          <w:rFonts w:ascii="Arial" w:hAnsi="Arial" w:cs="Arial"/>
          <w:b/>
          <w:bCs/>
          <w:color w:val="4472C4" w:themeColor="accent1"/>
          <w:sz w:val="24"/>
          <w:szCs w:val="24"/>
        </w:rPr>
        <w:t>DELAIS DE REALISATION DES TRAVAUX ET CONDITIONS DE VERSEMENT DE L’AIDE.</w:t>
      </w:r>
    </w:p>
    <w:p w14:paraId="78851A7E" w14:textId="452139E7" w:rsidR="005C7440" w:rsidRPr="00062720" w:rsidRDefault="005C7440" w:rsidP="005C7440">
      <w:pPr>
        <w:rPr>
          <w:rFonts w:ascii="Arial" w:hAnsi="Arial" w:cs="Arial"/>
        </w:rPr>
      </w:pPr>
      <w:r w:rsidRPr="00062720">
        <w:rPr>
          <w:rFonts w:ascii="Arial" w:hAnsi="Arial" w:cs="Arial"/>
        </w:rPr>
        <w:t>Les entreprises disposent d’un délai d’un an à compter de la date de notification de l’aide, pour réaliser les travaux conformément au dossier unique de candidature et présenter les justificatifs nécessaires au paiement de la subvention correspondante.</w:t>
      </w:r>
    </w:p>
    <w:p w14:paraId="3B579DFA" w14:textId="103FC493" w:rsidR="005C7440" w:rsidRPr="00062720" w:rsidRDefault="005C7440" w:rsidP="005C7440">
      <w:pPr>
        <w:rPr>
          <w:rFonts w:ascii="Arial" w:hAnsi="Arial" w:cs="Arial"/>
        </w:rPr>
      </w:pPr>
      <w:r w:rsidRPr="00062720">
        <w:rPr>
          <w:rFonts w:ascii="Arial" w:hAnsi="Arial" w:cs="Arial"/>
        </w:rPr>
        <w:lastRenderedPageBreak/>
        <w:t>Sauf dérogation exceptionnelle accordée par les partenaires financiers, le non-respect de ce délai entraine l’annulation de la décision d’attribution de l’aide.</w:t>
      </w:r>
    </w:p>
    <w:sectPr w:rsidR="005C7440" w:rsidRPr="00062720" w:rsidSect="00AC6A1A">
      <w:headerReference w:type="even" r:id="rId9"/>
      <w:headerReference w:type="default" r:id="rId10"/>
      <w:footerReference w:type="even" r:id="rId11"/>
      <w:footerReference w:type="default" r:id="rId12"/>
      <w:headerReference w:type="first" r:id="rId13"/>
      <w:footerReference w:type="first" r:id="rId14"/>
      <w:pgSz w:w="11906" w:h="16838"/>
      <w:pgMar w:top="851" w:right="849" w:bottom="0" w:left="1276"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C297" w14:textId="77777777" w:rsidR="007956A8" w:rsidRDefault="007956A8" w:rsidP="007956A8">
      <w:pPr>
        <w:spacing w:after="0" w:line="240" w:lineRule="auto"/>
      </w:pPr>
      <w:r>
        <w:separator/>
      </w:r>
    </w:p>
  </w:endnote>
  <w:endnote w:type="continuationSeparator" w:id="0">
    <w:p w14:paraId="11130578" w14:textId="77777777" w:rsidR="007956A8" w:rsidRDefault="007956A8" w:rsidP="0079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Pro Light">
    <w:altName w:val="Verdana Pro Light"/>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651F" w14:textId="77777777" w:rsidR="003D5A5D" w:rsidRDefault="003D5A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FCCF" w14:textId="77777777" w:rsidR="000A0402" w:rsidRDefault="000A0402">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3329B2DD" w14:textId="77777777" w:rsidR="007B64DD" w:rsidRDefault="007B64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44BB" w14:textId="508E9558" w:rsidR="00704062" w:rsidRDefault="003D5A5D">
    <w:pPr>
      <w:pStyle w:val="Pieddepage"/>
    </w:pPr>
    <w:r>
      <w:rPr>
        <w:noProof/>
        <w:lang w:eastAsia="fr-FR"/>
      </w:rPr>
      <w:drawing>
        <wp:anchor distT="0" distB="0" distL="114300" distR="114300" simplePos="0" relativeHeight="251671552" behindDoc="1" locked="0" layoutInCell="1" allowOverlap="1" wp14:anchorId="401C1B56" wp14:editId="627B398C">
          <wp:simplePos x="0" y="0"/>
          <wp:positionH relativeFrom="column">
            <wp:posOffset>4851400</wp:posOffset>
          </wp:positionH>
          <wp:positionV relativeFrom="paragraph">
            <wp:posOffset>-1144905</wp:posOffset>
          </wp:positionV>
          <wp:extent cx="1283970" cy="692150"/>
          <wp:effectExtent l="0" t="0" r="0" b="0"/>
          <wp:wrapTight wrapText="bothSides">
            <wp:wrapPolygon edited="0">
              <wp:start x="0" y="0"/>
              <wp:lineTo x="0" y="20807"/>
              <wp:lineTo x="21151" y="20807"/>
              <wp:lineTo x="21151" y="0"/>
              <wp:lineTo x="0" y="0"/>
            </wp:wrapPolygon>
          </wp:wrapTight>
          <wp:docPr id="41" name="Image 41" descr="RÃ©sultat de recherche d'images pour &quot;logo initiative vendÃ©e s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initiative vendÃ©e sud&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5D">
      <w:rPr>
        <w:noProof/>
      </w:rPr>
      <w:drawing>
        <wp:anchor distT="0" distB="0" distL="114300" distR="114300" simplePos="0" relativeHeight="251673600" behindDoc="0" locked="0" layoutInCell="1" allowOverlap="1" wp14:anchorId="4EA72DA8" wp14:editId="453007C6">
          <wp:simplePos x="0" y="0"/>
          <wp:positionH relativeFrom="margin">
            <wp:posOffset>2752090</wp:posOffset>
          </wp:positionH>
          <wp:positionV relativeFrom="margin">
            <wp:posOffset>8127365</wp:posOffset>
          </wp:positionV>
          <wp:extent cx="1019175" cy="927735"/>
          <wp:effectExtent l="0" t="0" r="952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0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2E2DB" w14:textId="77777777" w:rsidR="007956A8" w:rsidRDefault="007956A8" w:rsidP="007956A8">
      <w:pPr>
        <w:spacing w:after="0" w:line="240" w:lineRule="auto"/>
      </w:pPr>
      <w:r>
        <w:separator/>
      </w:r>
    </w:p>
  </w:footnote>
  <w:footnote w:type="continuationSeparator" w:id="0">
    <w:p w14:paraId="1617DBA6" w14:textId="77777777" w:rsidR="007956A8" w:rsidRDefault="007956A8" w:rsidP="0079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13EE" w14:textId="77777777" w:rsidR="003D5A5D" w:rsidRDefault="003D5A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868D" w14:textId="402AB0B6" w:rsidR="007B64DD" w:rsidRDefault="007B64DD" w:rsidP="00704062">
    <w:pPr>
      <w:pStyle w:val="En-tte"/>
    </w:pPr>
  </w:p>
  <w:p w14:paraId="5D8F649D" w14:textId="2E8C82E4" w:rsidR="007B64DD" w:rsidRDefault="007B64DD" w:rsidP="007956A8">
    <w:pPr>
      <w:pStyle w:val="En-tte"/>
      <w:jc w:val="center"/>
    </w:pPr>
  </w:p>
  <w:p w14:paraId="4F676082" w14:textId="5D2AE619" w:rsidR="007B64DD" w:rsidRDefault="007B64DD" w:rsidP="007B64DD">
    <w:pPr>
      <w:pStyle w:val="En-tte"/>
      <w:tabs>
        <w:tab w:val="left" w:pos="540"/>
      </w:tabs>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1957" w14:textId="21703C37" w:rsidR="007B64DD" w:rsidRDefault="005D55DF">
    <w:pPr>
      <w:pStyle w:val="En-tte"/>
    </w:pPr>
    <w:r>
      <w:rPr>
        <w:noProof/>
      </w:rPr>
      <w:drawing>
        <wp:anchor distT="0" distB="0" distL="114300" distR="114300" simplePos="0" relativeHeight="251672576" behindDoc="0" locked="0" layoutInCell="1" allowOverlap="1" wp14:anchorId="0D7755BB" wp14:editId="090D599F">
          <wp:simplePos x="0" y="0"/>
          <wp:positionH relativeFrom="margin">
            <wp:posOffset>219075</wp:posOffset>
          </wp:positionH>
          <wp:positionV relativeFrom="margin">
            <wp:posOffset>142875</wp:posOffset>
          </wp:positionV>
          <wp:extent cx="1123950" cy="674370"/>
          <wp:effectExtent l="0" t="0" r="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74370"/>
                  </a:xfrm>
                  <a:prstGeom prst="rect">
                    <a:avLst/>
                  </a:prstGeom>
                  <a:noFill/>
                </pic:spPr>
              </pic:pic>
            </a:graphicData>
          </a:graphic>
        </wp:anchor>
      </w:drawing>
    </w:r>
    <w:r w:rsidR="003E7F22" w:rsidRPr="002C2B74">
      <w:rPr>
        <w:noProof/>
      </w:rPr>
      <w:drawing>
        <wp:anchor distT="0" distB="0" distL="114300" distR="114300" simplePos="0" relativeHeight="251662336" behindDoc="0" locked="0" layoutInCell="1" allowOverlap="1" wp14:anchorId="5847F82D" wp14:editId="32CDC46F">
          <wp:simplePos x="0" y="0"/>
          <wp:positionH relativeFrom="margin">
            <wp:posOffset>2571115</wp:posOffset>
          </wp:positionH>
          <wp:positionV relativeFrom="margin">
            <wp:posOffset>142240</wp:posOffset>
          </wp:positionV>
          <wp:extent cx="1047750" cy="596265"/>
          <wp:effectExtent l="0" t="0" r="0" b="0"/>
          <wp:wrapSquare wrapText="bothSides"/>
          <wp:docPr id="38" name="Image 38" descr="C:\Users\assistante\AppData\Local\Microsoft\Windows\Temporary Internet Files\Content.Outlook\CR3I592Y\CC_CHATAIGNERAIE_logo_quadri_c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e\AppData\Local\Microsoft\Windows\Temporary Internet Files\Content.Outlook\CR3I592Y\CC_CHATAIGNERAIE_logo_quadri_cc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75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F22">
      <w:rPr>
        <w:noProof/>
        <w:lang w:eastAsia="fr-FR"/>
      </w:rPr>
      <w:drawing>
        <wp:anchor distT="0" distB="0" distL="114300" distR="114300" simplePos="0" relativeHeight="251665408" behindDoc="0" locked="0" layoutInCell="1" allowOverlap="1" wp14:anchorId="5EA06D08" wp14:editId="7AFA9F21">
          <wp:simplePos x="0" y="0"/>
          <wp:positionH relativeFrom="margin">
            <wp:posOffset>5066665</wp:posOffset>
          </wp:positionH>
          <wp:positionV relativeFrom="margin">
            <wp:posOffset>238760</wp:posOffset>
          </wp:positionV>
          <wp:extent cx="1152525" cy="503555"/>
          <wp:effectExtent l="0" t="0" r="9525" b="0"/>
          <wp:wrapSquare wrapText="bothSides"/>
          <wp:docPr id="39" name="Image 39" descr="cid:image001.png@01D488BC.9FDF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488BC.9FDF07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252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696"/>
      </v:shape>
    </w:pict>
  </w:numPicBullet>
  <w:abstractNum w:abstractNumId="0" w15:restartNumberingAfterBreak="0">
    <w:nsid w:val="00613D06"/>
    <w:multiLevelType w:val="hybridMultilevel"/>
    <w:tmpl w:val="AA6C8B3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82077E"/>
    <w:multiLevelType w:val="hybridMultilevel"/>
    <w:tmpl w:val="375E7260"/>
    <w:lvl w:ilvl="0" w:tplc="71BCA3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D1593D"/>
    <w:multiLevelType w:val="hybridMultilevel"/>
    <w:tmpl w:val="EBFA8A74"/>
    <w:lvl w:ilvl="0" w:tplc="E4425D2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7127B"/>
    <w:multiLevelType w:val="hybridMultilevel"/>
    <w:tmpl w:val="5ACA679E"/>
    <w:lvl w:ilvl="0" w:tplc="672EE788">
      <w:start w:val="1"/>
      <w:numFmt w:val="bullet"/>
      <w:lvlText w:val="-"/>
      <w:lvlJc w:val="left"/>
      <w:pPr>
        <w:ind w:left="1440" w:hanging="360"/>
      </w:pPr>
      <w:rPr>
        <w:rFonts w:ascii="Verdana Pro Light" w:hAnsi="Verdana Pro Light" w:hint="default"/>
        <w:b/>
        <w:color w:val="908752"/>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3E1884"/>
    <w:multiLevelType w:val="hybridMultilevel"/>
    <w:tmpl w:val="DD8252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34BF2"/>
    <w:multiLevelType w:val="hybridMultilevel"/>
    <w:tmpl w:val="677094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643F7"/>
    <w:multiLevelType w:val="hybridMultilevel"/>
    <w:tmpl w:val="26A037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64715"/>
    <w:multiLevelType w:val="hybridMultilevel"/>
    <w:tmpl w:val="A85431CE"/>
    <w:lvl w:ilvl="0" w:tplc="1B26D5D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1D205D"/>
    <w:multiLevelType w:val="hybridMultilevel"/>
    <w:tmpl w:val="72BABE6E"/>
    <w:lvl w:ilvl="0" w:tplc="672EE788">
      <w:start w:val="1"/>
      <w:numFmt w:val="bullet"/>
      <w:lvlText w:val="-"/>
      <w:lvlJc w:val="left"/>
      <w:pPr>
        <w:ind w:left="1428" w:hanging="360"/>
      </w:pPr>
      <w:rPr>
        <w:rFonts w:ascii="Verdana Pro Light" w:hAnsi="Verdana Pro Light" w:hint="default"/>
        <w:b/>
        <w:color w:val="908752"/>
        <w:sz w:val="20"/>
        <w:szCs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DE3334D"/>
    <w:multiLevelType w:val="hybridMultilevel"/>
    <w:tmpl w:val="3F2C0F5A"/>
    <w:lvl w:ilvl="0" w:tplc="3BD820E8">
      <w:start w:val="1"/>
      <w:numFmt w:val="decimal"/>
      <w:lvlText w:val="%1."/>
      <w:lvlJc w:val="left"/>
      <w:pPr>
        <w:ind w:left="644" w:hanging="360"/>
      </w:pPr>
      <w:rPr>
        <w:rFonts w:ascii="Arial" w:hAnsi="Arial" w:cs="Arial"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05899"/>
    <w:multiLevelType w:val="hybridMultilevel"/>
    <w:tmpl w:val="56067E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C7219"/>
    <w:multiLevelType w:val="hybridMultilevel"/>
    <w:tmpl w:val="DA8CE7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903BDF"/>
    <w:multiLevelType w:val="hybridMultilevel"/>
    <w:tmpl w:val="677C7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D56ED"/>
    <w:multiLevelType w:val="hybridMultilevel"/>
    <w:tmpl w:val="0A0267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933E9"/>
    <w:multiLevelType w:val="hybridMultilevel"/>
    <w:tmpl w:val="5AF499DE"/>
    <w:lvl w:ilvl="0" w:tplc="A54C021E">
      <w:start w:val="1"/>
      <w:numFmt w:val="bullet"/>
      <w:lvlText w:val=""/>
      <w:lvlJc w:val="left"/>
      <w:pPr>
        <w:ind w:left="1440" w:hanging="360"/>
      </w:pPr>
      <w:rPr>
        <w:rFonts w:ascii="Wingdings" w:hAnsi="Wingdings" w:hint="default"/>
        <w:b/>
        <w:color w:val="908752"/>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5DC7064"/>
    <w:multiLevelType w:val="hybridMultilevel"/>
    <w:tmpl w:val="0DD85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5A4812"/>
    <w:multiLevelType w:val="hybridMultilevel"/>
    <w:tmpl w:val="18528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8A709A"/>
    <w:multiLevelType w:val="hybridMultilevel"/>
    <w:tmpl w:val="15E0A1B2"/>
    <w:lvl w:ilvl="0" w:tplc="71BCA3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F94CFD"/>
    <w:multiLevelType w:val="hybridMultilevel"/>
    <w:tmpl w:val="AAB8E23A"/>
    <w:lvl w:ilvl="0" w:tplc="70D04DA2">
      <w:start w:val="1"/>
      <w:numFmt w:val="bullet"/>
      <w:lvlText w:val="Ø"/>
      <w:lvlJc w:val="left"/>
      <w:pPr>
        <w:ind w:left="720" w:hanging="360"/>
      </w:pPr>
      <w:rPr>
        <w:rFonts w:ascii="Wingdings" w:hAnsi="Wingdings" w:hint="default"/>
        <w:b/>
        <w:bCs/>
        <w:color w:val="C45911" w:themeColor="accent2" w:themeShade="B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D45786"/>
    <w:multiLevelType w:val="hybridMultilevel"/>
    <w:tmpl w:val="90A461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2C46F0"/>
    <w:multiLevelType w:val="hybridMultilevel"/>
    <w:tmpl w:val="649085E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49D790E"/>
    <w:multiLevelType w:val="hybridMultilevel"/>
    <w:tmpl w:val="D5F23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AA5619"/>
    <w:multiLevelType w:val="hybridMultilevel"/>
    <w:tmpl w:val="25EC2DF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8D56420"/>
    <w:multiLevelType w:val="hybridMultilevel"/>
    <w:tmpl w:val="F8D0CFE2"/>
    <w:lvl w:ilvl="0" w:tplc="672EE788">
      <w:start w:val="1"/>
      <w:numFmt w:val="bullet"/>
      <w:lvlText w:val="-"/>
      <w:lvlJc w:val="left"/>
      <w:pPr>
        <w:ind w:left="720" w:hanging="360"/>
      </w:pPr>
      <w:rPr>
        <w:rFonts w:ascii="Verdana Pro Light" w:hAnsi="Verdana Pro Light" w:hint="default"/>
        <w:b/>
        <w:color w:val="908752"/>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4F6175"/>
    <w:multiLevelType w:val="hybridMultilevel"/>
    <w:tmpl w:val="23C4A182"/>
    <w:lvl w:ilvl="0" w:tplc="672EE788">
      <w:start w:val="1"/>
      <w:numFmt w:val="bullet"/>
      <w:lvlText w:val="-"/>
      <w:lvlJc w:val="left"/>
      <w:pPr>
        <w:ind w:left="1428" w:hanging="360"/>
      </w:pPr>
      <w:rPr>
        <w:rFonts w:ascii="Verdana Pro Light" w:hAnsi="Verdana Pro Light" w:hint="default"/>
        <w:b/>
        <w:color w:val="908752"/>
        <w:sz w:val="20"/>
        <w:szCs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2C219E3"/>
    <w:multiLevelType w:val="hybridMultilevel"/>
    <w:tmpl w:val="6DA4CB6A"/>
    <w:lvl w:ilvl="0" w:tplc="A54C021E">
      <w:start w:val="1"/>
      <w:numFmt w:val="bullet"/>
      <w:lvlText w:val=""/>
      <w:lvlJc w:val="left"/>
      <w:pPr>
        <w:ind w:left="1440" w:hanging="360"/>
      </w:pPr>
      <w:rPr>
        <w:rFonts w:ascii="Wingdings" w:hAnsi="Wingdings" w:hint="default"/>
        <w:b/>
        <w:color w:val="908752"/>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83B1B01"/>
    <w:multiLevelType w:val="hybridMultilevel"/>
    <w:tmpl w:val="6532BA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CE3162"/>
    <w:multiLevelType w:val="hybridMultilevel"/>
    <w:tmpl w:val="6E46E00A"/>
    <w:lvl w:ilvl="0" w:tplc="A54C021E">
      <w:start w:val="1"/>
      <w:numFmt w:val="bullet"/>
      <w:lvlText w:val=""/>
      <w:lvlJc w:val="left"/>
      <w:pPr>
        <w:ind w:left="1800" w:hanging="360"/>
      </w:pPr>
      <w:rPr>
        <w:rFonts w:ascii="Wingdings" w:hAnsi="Wingdings" w:hint="default"/>
        <w:b/>
        <w:color w:val="908752"/>
        <w:sz w:val="20"/>
        <w:szCs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78535372"/>
    <w:multiLevelType w:val="hybridMultilevel"/>
    <w:tmpl w:val="4B660984"/>
    <w:lvl w:ilvl="0" w:tplc="86F4A56C">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927AA2"/>
    <w:multiLevelType w:val="hybridMultilevel"/>
    <w:tmpl w:val="4FCEE6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5A71E1"/>
    <w:multiLevelType w:val="hybridMultilevel"/>
    <w:tmpl w:val="0804BAE0"/>
    <w:lvl w:ilvl="0" w:tplc="672EE788">
      <w:start w:val="1"/>
      <w:numFmt w:val="bullet"/>
      <w:lvlText w:val="-"/>
      <w:lvlJc w:val="left"/>
      <w:pPr>
        <w:ind w:left="720" w:hanging="360"/>
      </w:pPr>
      <w:rPr>
        <w:rFonts w:ascii="Verdana Pro Light" w:hAnsi="Verdana Pro Light" w:hint="default"/>
        <w:b/>
        <w:color w:val="908752"/>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8B1525"/>
    <w:multiLevelType w:val="hybridMultilevel"/>
    <w:tmpl w:val="9BACBBC4"/>
    <w:lvl w:ilvl="0" w:tplc="A54C021E">
      <w:start w:val="1"/>
      <w:numFmt w:val="bullet"/>
      <w:lvlText w:val=""/>
      <w:lvlJc w:val="left"/>
      <w:pPr>
        <w:ind w:left="2844" w:hanging="360"/>
      </w:pPr>
      <w:rPr>
        <w:rFonts w:ascii="Wingdings" w:hAnsi="Wingdings" w:hint="default"/>
        <w:b/>
        <w:color w:val="908752"/>
        <w:sz w:val="20"/>
        <w:szCs w:val="20"/>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2" w15:restartNumberingAfterBreak="0">
    <w:nsid w:val="7F251232"/>
    <w:multiLevelType w:val="hybridMultilevel"/>
    <w:tmpl w:val="081A22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826893"/>
    <w:multiLevelType w:val="hybridMultilevel"/>
    <w:tmpl w:val="4E628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7"/>
  </w:num>
  <w:num w:numId="4">
    <w:abstractNumId w:val="16"/>
  </w:num>
  <w:num w:numId="5">
    <w:abstractNumId w:val="5"/>
  </w:num>
  <w:num w:numId="6">
    <w:abstractNumId w:val="14"/>
  </w:num>
  <w:num w:numId="7">
    <w:abstractNumId w:val="31"/>
  </w:num>
  <w:num w:numId="8">
    <w:abstractNumId w:val="30"/>
  </w:num>
  <w:num w:numId="9">
    <w:abstractNumId w:val="3"/>
  </w:num>
  <w:num w:numId="10">
    <w:abstractNumId w:val="24"/>
  </w:num>
  <w:num w:numId="11">
    <w:abstractNumId w:val="8"/>
  </w:num>
  <w:num w:numId="12">
    <w:abstractNumId w:val="23"/>
  </w:num>
  <w:num w:numId="13">
    <w:abstractNumId w:val="26"/>
  </w:num>
  <w:num w:numId="14">
    <w:abstractNumId w:val="11"/>
  </w:num>
  <w:num w:numId="15">
    <w:abstractNumId w:val="25"/>
  </w:num>
  <w:num w:numId="16">
    <w:abstractNumId w:val="1"/>
  </w:num>
  <w:num w:numId="17">
    <w:abstractNumId w:val="17"/>
  </w:num>
  <w:num w:numId="18">
    <w:abstractNumId w:val="20"/>
  </w:num>
  <w:num w:numId="19">
    <w:abstractNumId w:val="12"/>
  </w:num>
  <w:num w:numId="20">
    <w:abstractNumId w:val="10"/>
  </w:num>
  <w:num w:numId="21">
    <w:abstractNumId w:val="29"/>
  </w:num>
  <w:num w:numId="22">
    <w:abstractNumId w:val="4"/>
  </w:num>
  <w:num w:numId="23">
    <w:abstractNumId w:val="21"/>
  </w:num>
  <w:num w:numId="24">
    <w:abstractNumId w:val="13"/>
  </w:num>
  <w:num w:numId="25">
    <w:abstractNumId w:val="19"/>
  </w:num>
  <w:num w:numId="26">
    <w:abstractNumId w:val="18"/>
  </w:num>
  <w:num w:numId="27">
    <w:abstractNumId w:val="28"/>
  </w:num>
  <w:num w:numId="28">
    <w:abstractNumId w:val="2"/>
  </w:num>
  <w:num w:numId="29">
    <w:abstractNumId w:val="7"/>
  </w:num>
  <w:num w:numId="30">
    <w:abstractNumId w:val="32"/>
  </w:num>
  <w:num w:numId="31">
    <w:abstractNumId w:val="6"/>
  </w:num>
  <w:num w:numId="32">
    <w:abstractNumId w:val="33"/>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87"/>
    <w:rsid w:val="00061C24"/>
    <w:rsid w:val="00062720"/>
    <w:rsid w:val="00077353"/>
    <w:rsid w:val="00086389"/>
    <w:rsid w:val="000A0402"/>
    <w:rsid w:val="00151B95"/>
    <w:rsid w:val="001D1B82"/>
    <w:rsid w:val="00254EFF"/>
    <w:rsid w:val="0026274C"/>
    <w:rsid w:val="0027400E"/>
    <w:rsid w:val="002B4596"/>
    <w:rsid w:val="002D3F56"/>
    <w:rsid w:val="00327770"/>
    <w:rsid w:val="003524D3"/>
    <w:rsid w:val="003D5A5D"/>
    <w:rsid w:val="003E0211"/>
    <w:rsid w:val="003E0F29"/>
    <w:rsid w:val="003E2B6E"/>
    <w:rsid w:val="003E7F22"/>
    <w:rsid w:val="00444D3F"/>
    <w:rsid w:val="004C41A0"/>
    <w:rsid w:val="004C5E57"/>
    <w:rsid w:val="00566E0C"/>
    <w:rsid w:val="0058465D"/>
    <w:rsid w:val="005A2F8C"/>
    <w:rsid w:val="005C16F1"/>
    <w:rsid w:val="005C7440"/>
    <w:rsid w:val="005D55DF"/>
    <w:rsid w:val="005F0E8A"/>
    <w:rsid w:val="00637C87"/>
    <w:rsid w:val="00657831"/>
    <w:rsid w:val="0068466A"/>
    <w:rsid w:val="007001AB"/>
    <w:rsid w:val="00704062"/>
    <w:rsid w:val="00754787"/>
    <w:rsid w:val="007956A8"/>
    <w:rsid w:val="007A45B9"/>
    <w:rsid w:val="007B64DD"/>
    <w:rsid w:val="00802CF9"/>
    <w:rsid w:val="00834028"/>
    <w:rsid w:val="00873E7E"/>
    <w:rsid w:val="0098299C"/>
    <w:rsid w:val="00A317DC"/>
    <w:rsid w:val="00A842A0"/>
    <w:rsid w:val="00A92E47"/>
    <w:rsid w:val="00AC6A1A"/>
    <w:rsid w:val="00B367F9"/>
    <w:rsid w:val="00B67187"/>
    <w:rsid w:val="00C16821"/>
    <w:rsid w:val="00C354F2"/>
    <w:rsid w:val="00CE1D49"/>
    <w:rsid w:val="00CE4A64"/>
    <w:rsid w:val="00CE4D99"/>
    <w:rsid w:val="00D5734D"/>
    <w:rsid w:val="00DA1214"/>
    <w:rsid w:val="00DC2012"/>
    <w:rsid w:val="00DD0C44"/>
    <w:rsid w:val="00DD4463"/>
    <w:rsid w:val="00E162AD"/>
    <w:rsid w:val="00E33793"/>
    <w:rsid w:val="00E83FCB"/>
    <w:rsid w:val="00E90CDC"/>
    <w:rsid w:val="00E91539"/>
    <w:rsid w:val="00EC7E55"/>
    <w:rsid w:val="00ED3BF5"/>
    <w:rsid w:val="00F5185F"/>
    <w:rsid w:val="00F811BE"/>
    <w:rsid w:val="00F95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79CD1"/>
  <w15:chartTrackingRefBased/>
  <w15:docId w15:val="{1FEA8892-2789-45AD-91F7-ED889C46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BF5"/>
    <w:pPr>
      <w:ind w:left="720"/>
      <w:contextualSpacing/>
    </w:pPr>
  </w:style>
  <w:style w:type="paragraph" w:styleId="En-tte">
    <w:name w:val="header"/>
    <w:basedOn w:val="Normal"/>
    <w:link w:val="En-tteCar"/>
    <w:uiPriority w:val="99"/>
    <w:unhideWhenUsed/>
    <w:rsid w:val="007956A8"/>
    <w:pPr>
      <w:tabs>
        <w:tab w:val="center" w:pos="4536"/>
        <w:tab w:val="right" w:pos="9072"/>
      </w:tabs>
      <w:spacing w:after="0" w:line="240" w:lineRule="auto"/>
    </w:pPr>
  </w:style>
  <w:style w:type="character" w:customStyle="1" w:styleId="En-tteCar">
    <w:name w:val="En-tête Car"/>
    <w:basedOn w:val="Policepardfaut"/>
    <w:link w:val="En-tte"/>
    <w:uiPriority w:val="99"/>
    <w:rsid w:val="007956A8"/>
  </w:style>
  <w:style w:type="paragraph" w:styleId="Pieddepage">
    <w:name w:val="footer"/>
    <w:basedOn w:val="Normal"/>
    <w:link w:val="PieddepageCar"/>
    <w:uiPriority w:val="99"/>
    <w:unhideWhenUsed/>
    <w:rsid w:val="00795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6A8"/>
  </w:style>
  <w:style w:type="table" w:styleId="Grilledutableau">
    <w:name w:val="Table Grid"/>
    <w:basedOn w:val="TableauNormal"/>
    <w:uiPriority w:val="39"/>
    <w:rsid w:val="0070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0C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7E83.594AAF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cid:image001.png@01D488BC.9FDF07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6420</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NAROLLES</dc:creator>
  <cp:keywords/>
  <dc:description/>
  <cp:lastModifiedBy>Jean-Philippe KADJOMOU</cp:lastModifiedBy>
  <cp:revision>2</cp:revision>
  <cp:lastPrinted>2020-01-20T10:39:00Z</cp:lastPrinted>
  <dcterms:created xsi:type="dcterms:W3CDTF">2020-01-20T10:40:00Z</dcterms:created>
  <dcterms:modified xsi:type="dcterms:W3CDTF">2020-01-20T10:40:00Z</dcterms:modified>
</cp:coreProperties>
</file>